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napToGrid w:val="0"/>
        <w:rPr>
          <w:rFonts w:ascii="Arial" w:hAnsi="Arial" w:eastAsia="黑体" w:cs="Arial"/>
          <w:sz w:val="52"/>
        </w:rPr>
      </w:pPr>
      <w:r>
        <w:rPr>
          <w:rFonts w:ascii="Arial" w:hAnsi="Arial" w:eastAsia="黑体" w:cs="Arial"/>
          <w:sz w:val="52"/>
        </w:rPr>
        <w:drawing>
          <wp:inline distT="0" distB="0" distL="0" distR="0">
            <wp:extent cx="2399030" cy="510540"/>
            <wp:effectExtent l="0" t="0" r="0" b="0"/>
            <wp:docPr id="1" name="图片 1" descr="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01.png"/>
                    <pic:cNvPicPr>
                      <a:picLocks noChangeAspect="1" noChangeArrowheads="1"/>
                    </pic:cNvPicPr>
                  </pic:nvPicPr>
                  <pic:blipFill>
                    <a:blip r:embed="rId16" cstate="print"/>
                    <a:srcRect/>
                    <a:stretch>
                      <a:fillRect/>
                    </a:stretch>
                  </pic:blipFill>
                  <pic:spPr>
                    <a:xfrm>
                      <a:off x="0" y="0"/>
                      <a:ext cx="2399030" cy="510540"/>
                    </a:xfrm>
                    <a:prstGeom prst="rect">
                      <a:avLst/>
                    </a:prstGeom>
                    <a:noFill/>
                    <a:ln w="9525">
                      <a:noFill/>
                      <a:miter lim="800000"/>
                      <a:headEnd/>
                      <a:tailEnd/>
                    </a:ln>
                  </pic:spPr>
                </pic:pic>
              </a:graphicData>
            </a:graphic>
          </wp:inline>
        </w:drawing>
      </w:r>
    </w:p>
    <w:p>
      <w:pPr>
        <w:pStyle w:val="45"/>
        <w:spacing w:line="360" w:lineRule="auto"/>
        <w:jc w:val="center"/>
        <w:rPr>
          <w:rFonts w:ascii="Arial" w:hAnsi="Arial" w:eastAsia="黑体" w:cs="Arial"/>
          <w:w w:val="80"/>
          <w:sz w:val="72"/>
          <w:szCs w:val="72"/>
        </w:rPr>
      </w:pPr>
    </w:p>
    <w:p>
      <w:pPr>
        <w:pStyle w:val="45"/>
        <w:snapToGrid w:val="0"/>
        <w:spacing w:line="300" w:lineRule="auto"/>
        <w:jc w:val="center"/>
        <w:rPr>
          <w:rFonts w:ascii="Arial" w:hAnsi="Arial" w:eastAsia="黑体" w:cs="Arial"/>
          <w:w w:val="80"/>
          <w:sz w:val="72"/>
          <w:szCs w:val="72"/>
        </w:rPr>
      </w:pPr>
      <w:r>
        <w:rPr>
          <w:rFonts w:hint="eastAsia" w:ascii="Arial" w:hAnsi="Arial" w:eastAsia="黑体" w:cs="Arial"/>
          <w:w w:val="80"/>
          <w:sz w:val="72"/>
          <w:szCs w:val="72"/>
        </w:rPr>
        <w:t>外交部机关及驻外机构服务中心集中采购中心</w:t>
      </w:r>
    </w:p>
    <w:p>
      <w:pPr>
        <w:pStyle w:val="45"/>
        <w:snapToGrid w:val="0"/>
        <w:spacing w:line="360" w:lineRule="auto"/>
        <w:jc w:val="center"/>
        <w:rPr>
          <w:rFonts w:ascii="Arial" w:hAnsi="Arial" w:eastAsia="黑体" w:cs="Arial"/>
          <w:w w:val="66"/>
          <w:sz w:val="72"/>
          <w:szCs w:val="72"/>
        </w:rPr>
      </w:pPr>
      <w:r>
        <w:rPr>
          <w:rFonts w:hint="eastAsia" w:ascii="Arial" w:hAnsi="Arial" w:eastAsia="黑体" w:cs="Arial"/>
          <w:w w:val="66"/>
          <w:sz w:val="72"/>
          <w:szCs w:val="72"/>
        </w:rPr>
        <w:t>张湾培训中心2022年食材采购项目</w:t>
      </w:r>
    </w:p>
    <w:p>
      <w:pPr>
        <w:jc w:val="center"/>
        <w:rPr>
          <w:rFonts w:ascii="Arial" w:hAnsi="Arial" w:eastAsia="黑体" w:cs="Arial"/>
          <w:bCs/>
          <w:w w:val="90"/>
          <w:sz w:val="72"/>
          <w:szCs w:val="72"/>
        </w:rPr>
      </w:pPr>
    </w:p>
    <w:p>
      <w:pPr>
        <w:jc w:val="center"/>
        <w:rPr>
          <w:rFonts w:ascii="Arial" w:hAnsi="Arial" w:eastAsia="黑体" w:cs="Arial"/>
          <w:bCs/>
          <w:w w:val="90"/>
          <w:sz w:val="72"/>
          <w:szCs w:val="72"/>
        </w:rPr>
      </w:pPr>
    </w:p>
    <w:p>
      <w:pPr>
        <w:widowControl/>
        <w:snapToGrid w:val="0"/>
        <w:spacing w:line="300" w:lineRule="auto"/>
        <w:jc w:val="center"/>
        <w:rPr>
          <w:rFonts w:ascii="Arial" w:hAnsi="Arial" w:eastAsia="黑体" w:cs="Arial"/>
          <w:w w:val="80"/>
          <w:sz w:val="72"/>
          <w:szCs w:val="72"/>
        </w:rPr>
      </w:pPr>
      <w:r>
        <w:rPr>
          <w:rFonts w:ascii="Arial" w:hAnsi="Arial" w:eastAsia="黑体" w:cs="Arial"/>
          <w:w w:val="80"/>
          <w:sz w:val="72"/>
          <w:szCs w:val="72"/>
        </w:rPr>
        <w:t>磋商文件</w:t>
      </w:r>
    </w:p>
    <w:p>
      <w:pPr>
        <w:pStyle w:val="45"/>
        <w:snapToGrid w:val="0"/>
        <w:spacing w:line="360" w:lineRule="auto"/>
        <w:jc w:val="center"/>
        <w:rPr>
          <w:rFonts w:ascii="Arial" w:hAnsi="Arial" w:eastAsia="黑体" w:cs="Arial"/>
          <w:sz w:val="30"/>
          <w:szCs w:val="30"/>
        </w:rPr>
      </w:pPr>
    </w:p>
    <w:p>
      <w:pPr>
        <w:pStyle w:val="45"/>
        <w:snapToGrid w:val="0"/>
        <w:spacing w:line="360" w:lineRule="auto"/>
        <w:jc w:val="center"/>
        <w:rPr>
          <w:rFonts w:ascii="Arial" w:hAnsi="Arial" w:eastAsia="黑体" w:cs="Arial"/>
          <w:sz w:val="30"/>
          <w:szCs w:val="30"/>
        </w:rPr>
      </w:pPr>
      <w:r>
        <w:rPr>
          <w:rFonts w:ascii="Arial" w:hAnsi="Arial" w:eastAsia="黑体" w:cs="Arial"/>
          <w:sz w:val="30"/>
          <w:szCs w:val="30"/>
        </w:rPr>
        <w:t>招标编号：0733-22130107</w:t>
      </w:r>
    </w:p>
    <w:p>
      <w:pPr>
        <w:pStyle w:val="45"/>
        <w:snapToGrid w:val="0"/>
        <w:spacing w:line="360" w:lineRule="auto"/>
        <w:jc w:val="center"/>
        <w:rPr>
          <w:rFonts w:ascii="Arial" w:hAnsi="Arial" w:eastAsia="黑体" w:cs="Arial"/>
          <w:sz w:val="30"/>
          <w:szCs w:val="30"/>
        </w:rPr>
      </w:pPr>
    </w:p>
    <w:p>
      <w:pPr>
        <w:pStyle w:val="45"/>
        <w:snapToGrid w:val="0"/>
        <w:spacing w:line="360" w:lineRule="auto"/>
        <w:jc w:val="center"/>
        <w:rPr>
          <w:rFonts w:ascii="Arial" w:hAnsi="Arial" w:eastAsia="黑体" w:cs="Arial"/>
          <w:sz w:val="30"/>
          <w:szCs w:val="30"/>
        </w:rPr>
      </w:pPr>
    </w:p>
    <w:p>
      <w:pPr>
        <w:pStyle w:val="45"/>
        <w:snapToGrid w:val="0"/>
        <w:spacing w:line="360" w:lineRule="auto"/>
        <w:rPr>
          <w:rFonts w:ascii="Arial" w:hAnsi="Arial" w:eastAsia="黑体" w:cs="Arial"/>
          <w:sz w:val="30"/>
          <w:szCs w:val="30"/>
        </w:rPr>
      </w:pPr>
    </w:p>
    <w:p>
      <w:pPr>
        <w:pStyle w:val="45"/>
        <w:snapToGrid w:val="0"/>
        <w:spacing w:line="300" w:lineRule="auto"/>
        <w:jc w:val="center"/>
        <w:rPr>
          <w:rFonts w:ascii="Arial" w:hAnsi="Arial" w:eastAsia="黑体" w:cs="Arial"/>
          <w:sz w:val="30"/>
          <w:szCs w:val="30"/>
        </w:rPr>
      </w:pPr>
      <w:r>
        <w:rPr>
          <w:rFonts w:ascii="Arial" w:hAnsi="Arial" w:eastAsia="黑体" w:cs="Arial"/>
          <w:sz w:val="30"/>
          <w:szCs w:val="30"/>
        </w:rPr>
        <w:t>招标人：</w:t>
      </w:r>
      <w:r>
        <w:rPr>
          <w:rFonts w:hint="eastAsia" w:ascii="Arial" w:hAnsi="Arial" w:eastAsia="黑体" w:cs="Arial"/>
          <w:sz w:val="30"/>
          <w:szCs w:val="30"/>
        </w:rPr>
        <w:t>外交部机关及驻外机构服务中心集中采购中心</w:t>
      </w:r>
    </w:p>
    <w:p>
      <w:pPr>
        <w:pStyle w:val="45"/>
        <w:snapToGrid w:val="0"/>
        <w:spacing w:line="360" w:lineRule="auto"/>
        <w:ind w:firstLine="2520" w:firstLineChars="840"/>
        <w:rPr>
          <w:rFonts w:ascii="Arial" w:hAnsi="Arial" w:eastAsia="黑体" w:cs="Arial"/>
          <w:sz w:val="30"/>
          <w:szCs w:val="30"/>
        </w:rPr>
      </w:pPr>
      <w:r>
        <w:rPr>
          <w:rFonts w:ascii="Arial" w:hAnsi="Arial" w:eastAsia="黑体" w:cs="Arial"/>
          <w:sz w:val="30"/>
          <w:szCs w:val="30"/>
        </w:rPr>
        <w:t>招标代理机构：中信国际招标有限公司</w:t>
      </w:r>
    </w:p>
    <w:p>
      <w:pPr>
        <w:pStyle w:val="45"/>
        <w:snapToGrid w:val="0"/>
        <w:spacing w:line="360" w:lineRule="auto"/>
        <w:jc w:val="center"/>
        <w:rPr>
          <w:rFonts w:ascii="Arial" w:hAnsi="Arial" w:eastAsia="黑体" w:cs="Arial"/>
          <w:sz w:val="30"/>
          <w:szCs w:val="30"/>
        </w:rPr>
      </w:pPr>
      <w:r>
        <w:rPr>
          <w:rFonts w:ascii="Arial" w:hAnsi="Arial" w:eastAsia="黑体" w:cs="Arial"/>
          <w:sz w:val="30"/>
          <w:szCs w:val="30"/>
        </w:rPr>
        <w:t>2022年1月</w:t>
      </w:r>
    </w:p>
    <w:p>
      <w:pPr>
        <w:pStyle w:val="45"/>
        <w:snapToGrid w:val="0"/>
        <w:spacing w:line="360" w:lineRule="auto"/>
        <w:jc w:val="center"/>
        <w:rPr>
          <w:rFonts w:ascii="Arial" w:hAnsi="Arial" w:eastAsia="黑体" w:cs="Arial"/>
          <w:sz w:val="30"/>
          <w:szCs w:val="30"/>
        </w:rPr>
        <w:sectPr>
          <w:headerReference r:id="rId4" w:type="first"/>
          <w:footerReference r:id="rId7" w:type="first"/>
          <w:headerReference r:id="rId3" w:type="default"/>
          <w:footerReference r:id="rId5" w:type="default"/>
          <w:footerReference r:id="rId6" w:type="even"/>
          <w:pgSz w:w="11907" w:h="16840"/>
          <w:pgMar w:top="1247" w:right="992" w:bottom="1247" w:left="1247" w:header="851" w:footer="992" w:gutter="0"/>
          <w:cols w:space="720" w:num="1"/>
          <w:docGrid w:linePitch="312" w:charSpace="40799"/>
        </w:sectPr>
      </w:pPr>
    </w:p>
    <w:sdt>
      <w:sdtPr>
        <w:rPr>
          <w:rFonts w:ascii="Times New Roman" w:hAnsi="Times New Roman" w:eastAsia="宋体" w:cs="Times New Roman"/>
          <w:color w:val="auto"/>
          <w:kern w:val="2"/>
          <w:sz w:val="21"/>
          <w:szCs w:val="24"/>
          <w:lang w:val="zh-CN"/>
        </w:rPr>
        <w:id w:val="-1576577819"/>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73"/>
            <w:spacing w:line="480" w:lineRule="auto"/>
            <w:jc w:val="center"/>
          </w:pPr>
          <w:bookmarkStart w:id="0" w:name="_Toc163975943"/>
          <w:bookmarkStart w:id="1" w:name="_Toc8845678"/>
          <w:bookmarkStart w:id="2" w:name="_Toc70081281"/>
          <w:bookmarkStart w:id="3" w:name="_Toc167105203"/>
          <w:bookmarkStart w:id="4" w:name="_Toc163975681"/>
          <w:bookmarkStart w:id="5" w:name="_Toc67131234"/>
          <w:bookmarkStart w:id="6" w:name="_Toc167105204"/>
          <w:bookmarkStart w:id="7" w:name="_Toc24342872"/>
          <w:bookmarkStart w:id="8" w:name="_Toc83809749"/>
          <w:bookmarkStart w:id="9" w:name="_Toc50985437"/>
          <w:bookmarkStart w:id="10" w:name="_Toc82502354"/>
          <w:bookmarkStart w:id="11" w:name="_Toc82246242"/>
          <w:bookmarkStart w:id="12" w:name="_Toc8845739"/>
          <w:bookmarkStart w:id="13" w:name="_Toc50985642"/>
          <w:bookmarkStart w:id="14" w:name="_Toc82246186"/>
          <w:bookmarkStart w:id="15" w:name="_Toc185326857"/>
          <w:bookmarkStart w:id="16" w:name="_Toc82328627"/>
          <w:bookmarkStart w:id="17" w:name="_Toc235608881"/>
          <w:bookmarkStart w:id="18" w:name="_Toc50893608"/>
          <w:bookmarkStart w:id="19" w:name="_Toc21861900"/>
          <w:bookmarkStart w:id="20" w:name="_Toc80582192"/>
          <w:bookmarkStart w:id="21" w:name="_Toc83809625"/>
          <w:bookmarkStart w:id="22" w:name="_Toc21916432"/>
          <w:bookmarkStart w:id="23" w:name="_Toc219600802"/>
          <w:bookmarkStart w:id="24" w:name="_Toc46107900"/>
          <w:bookmarkStart w:id="25" w:name="_Toc163975754"/>
          <w:bookmarkStart w:id="26" w:name="_Toc185151078"/>
          <w:bookmarkStart w:id="27" w:name="_Toc184437951"/>
          <w:bookmarkStart w:id="28" w:name="_Toc163975518"/>
          <w:bookmarkStart w:id="29" w:name="_Toc21916231"/>
          <w:bookmarkStart w:id="30" w:name="_Toc50893945"/>
          <w:bookmarkStart w:id="31" w:name="_Toc163975942"/>
          <w:bookmarkStart w:id="32" w:name="_Toc163976126"/>
          <w:bookmarkStart w:id="33" w:name="_Toc163975753"/>
          <w:bookmarkStart w:id="34" w:name="_Toc163975179"/>
          <w:bookmarkStart w:id="35" w:name="_Toc70081212"/>
          <w:bookmarkStart w:id="36" w:name="_Toc21854763"/>
          <w:bookmarkStart w:id="37" w:name="_Toc184437950"/>
          <w:bookmarkStart w:id="38" w:name="_Toc83810501"/>
          <w:bookmarkStart w:id="39" w:name="_Toc185151079"/>
          <w:bookmarkStart w:id="40" w:name="_Toc8845605"/>
          <w:bookmarkStart w:id="41" w:name="_Toc238962518"/>
          <w:bookmarkStart w:id="42" w:name="_Toc163976125"/>
          <w:bookmarkStart w:id="43" w:name="_Toc21916299"/>
          <w:bookmarkStart w:id="44" w:name="_Toc83810772"/>
          <w:bookmarkStart w:id="45" w:name="_Toc185326858"/>
          <w:bookmarkStart w:id="46" w:name="_Toc82485135"/>
          <w:r>
            <w:rPr>
              <w:lang w:val="zh-CN"/>
            </w:rPr>
            <w:t>目录</w:t>
          </w:r>
        </w:p>
        <w:p>
          <w:pPr>
            <w:pStyle w:val="59"/>
            <w:tabs>
              <w:tab w:val="left" w:pos="840"/>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TOC \o "1-3" \h \z \u </w:instrText>
          </w:r>
          <w:r>
            <w:fldChar w:fldCharType="separate"/>
          </w:r>
          <w:r>
            <w:fldChar w:fldCharType="begin"/>
          </w:r>
          <w:r>
            <w:instrText xml:space="preserve"> HYPERLINK \l "_Toc92965922" </w:instrText>
          </w:r>
          <w:r>
            <w:fldChar w:fldCharType="separate"/>
          </w:r>
          <w:r>
            <w:rPr>
              <w:rStyle w:val="103"/>
              <w:rFonts w:ascii="Arial" w:hAnsi="Arial" w:cs="Arial"/>
            </w:rPr>
            <w:t>第一章</w:t>
          </w:r>
          <w:r>
            <w:rPr>
              <w:rFonts w:asciiTheme="minorHAnsi" w:hAnsiTheme="minorHAnsi" w:eastAsiaTheme="minorEastAsia" w:cstheme="minorBidi"/>
              <w:b w:val="0"/>
              <w:bCs w:val="0"/>
              <w:caps w:val="0"/>
              <w:sz w:val="21"/>
              <w:szCs w:val="22"/>
            </w:rPr>
            <w:tab/>
          </w:r>
          <w:r>
            <w:rPr>
              <w:rStyle w:val="103"/>
              <w:rFonts w:ascii="Segoe UI" w:hAnsi="Segoe UI" w:cs="Segoe UI"/>
              <w:kern w:val="0"/>
            </w:rPr>
            <w:t>磋商公告</w:t>
          </w:r>
          <w:r>
            <w:tab/>
          </w:r>
          <w:r>
            <w:fldChar w:fldCharType="begin"/>
          </w:r>
          <w:r>
            <w:instrText xml:space="preserve"> PAGEREF _Toc92965922 \h </w:instrText>
          </w:r>
          <w:r>
            <w:fldChar w:fldCharType="separate"/>
          </w:r>
          <w:r>
            <w:t>1</w:t>
          </w:r>
          <w:r>
            <w:fldChar w:fldCharType="end"/>
          </w:r>
          <w:r>
            <w:fldChar w:fldCharType="end"/>
          </w:r>
        </w:p>
        <w:p>
          <w:pPr>
            <w:pStyle w:val="59"/>
            <w:tabs>
              <w:tab w:val="left" w:pos="840"/>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HYPERLINK \l "_Toc92965923" </w:instrText>
          </w:r>
          <w:r>
            <w:fldChar w:fldCharType="separate"/>
          </w:r>
          <w:r>
            <w:rPr>
              <w:rStyle w:val="103"/>
              <w:rFonts w:ascii="Arial" w:hAnsi="Arial" w:cs="Arial"/>
            </w:rPr>
            <w:t>第二章</w:t>
          </w:r>
          <w:r>
            <w:rPr>
              <w:rFonts w:asciiTheme="minorHAnsi" w:hAnsiTheme="minorHAnsi" w:eastAsiaTheme="minorEastAsia" w:cstheme="minorBidi"/>
              <w:b w:val="0"/>
              <w:bCs w:val="0"/>
              <w:caps w:val="0"/>
              <w:sz w:val="21"/>
              <w:szCs w:val="22"/>
            </w:rPr>
            <w:tab/>
          </w:r>
          <w:r>
            <w:rPr>
              <w:rStyle w:val="103"/>
              <w:rFonts w:ascii="Arial" w:hAnsi="Arial" w:cs="Arial"/>
            </w:rPr>
            <w:t>磋商资料表和供应商须知</w:t>
          </w:r>
          <w:r>
            <w:tab/>
          </w:r>
          <w:r>
            <w:fldChar w:fldCharType="begin"/>
          </w:r>
          <w:r>
            <w:instrText xml:space="preserve"> PAGEREF _Toc92965923 \h </w:instrText>
          </w:r>
          <w:r>
            <w:fldChar w:fldCharType="separate"/>
          </w:r>
          <w:r>
            <w:t>5</w:t>
          </w:r>
          <w:r>
            <w:fldChar w:fldCharType="end"/>
          </w:r>
          <w:r>
            <w:fldChar w:fldCharType="end"/>
          </w:r>
        </w:p>
        <w:p>
          <w:pPr>
            <w:pStyle w:val="59"/>
            <w:tabs>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HYPERLINK \l "_Toc92965931" </w:instrText>
          </w:r>
          <w:r>
            <w:fldChar w:fldCharType="separate"/>
          </w:r>
          <w:r>
            <w:rPr>
              <w:rStyle w:val="103"/>
              <w:rFonts w:ascii="Arial" w:hAnsi="Arial" w:cs="Arial"/>
            </w:rPr>
            <w:t>第三章 评标标准和评标方法</w:t>
          </w:r>
          <w:r>
            <w:tab/>
          </w:r>
          <w:r>
            <w:fldChar w:fldCharType="begin"/>
          </w:r>
          <w:r>
            <w:instrText xml:space="preserve"> PAGEREF _Toc92965931 \h </w:instrText>
          </w:r>
          <w:r>
            <w:fldChar w:fldCharType="separate"/>
          </w:r>
          <w:r>
            <w:t>17</w:t>
          </w:r>
          <w:r>
            <w:fldChar w:fldCharType="end"/>
          </w:r>
          <w:r>
            <w:fldChar w:fldCharType="end"/>
          </w:r>
        </w:p>
        <w:p>
          <w:pPr>
            <w:pStyle w:val="59"/>
            <w:tabs>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HYPERLINK \l "_Toc92965932" </w:instrText>
          </w:r>
          <w:r>
            <w:fldChar w:fldCharType="separate"/>
          </w:r>
          <w:r>
            <w:rPr>
              <w:rStyle w:val="103"/>
              <w:rFonts w:ascii="Arial" w:hAnsi="Arial" w:cs="Arial"/>
            </w:rPr>
            <w:t>第四章 技术要求</w:t>
          </w:r>
          <w:r>
            <w:tab/>
          </w:r>
          <w:r>
            <w:fldChar w:fldCharType="begin"/>
          </w:r>
          <w:r>
            <w:instrText xml:space="preserve"> PAGEREF _Toc92965932 \h </w:instrText>
          </w:r>
          <w:r>
            <w:fldChar w:fldCharType="separate"/>
          </w:r>
          <w:r>
            <w:t>21</w:t>
          </w:r>
          <w:r>
            <w:fldChar w:fldCharType="end"/>
          </w:r>
          <w:r>
            <w:fldChar w:fldCharType="end"/>
          </w:r>
        </w:p>
        <w:p>
          <w:pPr>
            <w:pStyle w:val="59"/>
            <w:tabs>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HYPERLINK \l "_Toc92965933" </w:instrText>
          </w:r>
          <w:r>
            <w:fldChar w:fldCharType="separate"/>
          </w:r>
          <w:r>
            <w:rPr>
              <w:rStyle w:val="103"/>
              <w:rFonts w:ascii="Arial" w:hAnsi="Arial" w:cs="Arial"/>
            </w:rPr>
            <w:t xml:space="preserve">第五章 </w:t>
          </w:r>
          <w:r>
            <w:rPr>
              <w:rStyle w:val="103"/>
            </w:rPr>
            <w:t>合同条款及格式</w:t>
          </w:r>
          <w:r>
            <w:tab/>
          </w:r>
          <w:r>
            <w:fldChar w:fldCharType="begin"/>
          </w:r>
          <w:r>
            <w:instrText xml:space="preserve"> PAGEREF _Toc92965933 \h </w:instrText>
          </w:r>
          <w:r>
            <w:fldChar w:fldCharType="separate"/>
          </w:r>
          <w:r>
            <w:t>22</w:t>
          </w:r>
          <w:r>
            <w:fldChar w:fldCharType="end"/>
          </w:r>
          <w:r>
            <w:fldChar w:fldCharType="end"/>
          </w:r>
        </w:p>
        <w:p>
          <w:pPr>
            <w:pStyle w:val="59"/>
            <w:tabs>
              <w:tab w:val="right" w:leader="dot" w:pos="9403"/>
            </w:tabs>
            <w:spacing w:line="480" w:lineRule="auto"/>
            <w:rPr>
              <w:rFonts w:asciiTheme="minorHAnsi" w:hAnsiTheme="minorHAnsi" w:eastAsiaTheme="minorEastAsia" w:cstheme="minorBidi"/>
              <w:b w:val="0"/>
              <w:bCs w:val="0"/>
              <w:caps w:val="0"/>
              <w:sz w:val="21"/>
              <w:szCs w:val="22"/>
            </w:rPr>
          </w:pPr>
          <w:r>
            <w:fldChar w:fldCharType="begin"/>
          </w:r>
          <w:r>
            <w:instrText xml:space="preserve"> HYPERLINK \l "_Toc92965935" </w:instrText>
          </w:r>
          <w:r>
            <w:fldChar w:fldCharType="separate"/>
          </w:r>
          <w:r>
            <w:rPr>
              <w:rStyle w:val="103"/>
              <w:rFonts w:ascii="Arial" w:hAnsi="Arial" w:cs="Arial"/>
            </w:rPr>
            <w:t>第六章 附件</w:t>
          </w:r>
          <w:r>
            <w:tab/>
          </w:r>
          <w:r>
            <w:fldChar w:fldCharType="begin"/>
          </w:r>
          <w:r>
            <w:instrText xml:space="preserve"> PAGEREF _Toc92965935 \h </w:instrText>
          </w:r>
          <w:r>
            <w:fldChar w:fldCharType="separate"/>
          </w:r>
          <w:r>
            <w:t>41</w:t>
          </w:r>
          <w:r>
            <w:fldChar w:fldCharType="end"/>
          </w:r>
          <w:r>
            <w:fldChar w:fldCharType="end"/>
          </w:r>
        </w:p>
        <w:p>
          <w:pPr>
            <w:spacing w:line="480" w:lineRule="auto"/>
          </w:pPr>
          <w:r>
            <w:rPr>
              <w:b/>
              <w:bCs/>
              <w:lang w:val="zh-CN"/>
            </w:rPr>
            <w:fldChar w:fldCharType="end"/>
          </w:r>
        </w:p>
      </w:sdtContent>
    </w:sdt>
    <w:p>
      <w:pPr>
        <w:rPr>
          <w:rFonts w:ascii="Arial" w:hAnsi="Arial" w:cs="Arial"/>
        </w:rPr>
      </w:pPr>
    </w:p>
    <w:p>
      <w:pPr>
        <w:pStyle w:val="3"/>
        <w:spacing w:line="480" w:lineRule="auto"/>
        <w:rPr>
          <w:rFonts w:ascii="Arial" w:hAnsi="Arial" w:cs="Arial"/>
          <w:color w:val="auto"/>
          <w:w w:val="100"/>
        </w:rPr>
        <w:sectPr>
          <w:footerReference r:id="rId8" w:type="default"/>
          <w:pgSz w:w="11907" w:h="16840"/>
          <w:pgMar w:top="1247" w:right="1247" w:bottom="1247" w:left="1247" w:header="851" w:footer="992" w:gutter="0"/>
          <w:pgNumType w:start="1"/>
          <w:cols w:space="720" w:num="1"/>
          <w:docGrid w:linePitch="312" w:charSpace="40799"/>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pStyle w:val="3"/>
        <w:numPr>
          <w:ilvl w:val="0"/>
          <w:numId w:val="12"/>
        </w:numPr>
        <w:rPr>
          <w:rFonts w:ascii="Arial" w:hAnsi="Arial" w:cs="Arial"/>
          <w:color w:val="auto"/>
        </w:rPr>
      </w:pPr>
      <w:bookmarkStart w:id="47" w:name="_Toc92357005"/>
      <w:bookmarkStart w:id="48" w:name="_Toc92965922"/>
      <w:bookmarkStart w:id="49" w:name="OLE_LINK35"/>
      <w:bookmarkStart w:id="50" w:name="OLE_LINK34"/>
      <w:r>
        <w:rPr>
          <w:rFonts w:hint="eastAsia" w:ascii="Segoe UI" w:hAnsi="Segoe UI" w:cs="Segoe UI"/>
          <w:color w:val="auto"/>
          <w:kern w:val="0"/>
        </w:rPr>
        <w:t>磋商公告</w:t>
      </w:r>
      <w:bookmarkEnd w:id="47"/>
      <w:bookmarkEnd w:id="48"/>
    </w:p>
    <w:p>
      <w:pPr>
        <w:spacing w:line="360" w:lineRule="auto"/>
        <w:rPr>
          <w:rFonts w:cs="Segoe UI" w:asciiTheme="minorEastAsia" w:hAnsiTheme="minorEastAsia" w:eastAsiaTheme="minorEastAsia"/>
          <w:kern w:val="0"/>
          <w:sz w:val="24"/>
        </w:rPr>
      </w:pPr>
      <w:bookmarkStart w:id="51" w:name="_Toc48061807"/>
      <w:r>
        <w:rPr>
          <w:rFonts w:cs="Segoe UI" w:asciiTheme="minorEastAsia" w:hAnsiTheme="minorEastAsia" w:eastAsiaTheme="minorEastAsia"/>
          <w:kern w:val="0"/>
          <w:sz w:val="24"/>
        </w:rPr>
        <w:t>项目概况</w:t>
      </w:r>
      <w:bookmarkEnd w:id="51"/>
    </w:p>
    <w:p>
      <w:pPr>
        <w:widowControl/>
        <w:shd w:val="clear" w:color="auto" w:fill="FFFFFF"/>
        <w:spacing w:line="360" w:lineRule="auto"/>
        <w:rPr>
          <w:rFonts w:cs="Segoe UI" w:asciiTheme="minorEastAsia" w:hAnsiTheme="minorEastAsia" w:eastAsiaTheme="minorEastAsia"/>
          <w:kern w:val="0"/>
          <w:sz w:val="24"/>
        </w:rPr>
      </w:pPr>
      <w:r>
        <w:rPr>
          <w:rFonts w:hint="eastAsia" w:cs="Segoe UI" w:asciiTheme="minorEastAsia" w:hAnsiTheme="minorEastAsia" w:eastAsiaTheme="minorEastAsia"/>
          <w:kern w:val="0"/>
          <w:sz w:val="24"/>
        </w:rPr>
        <w:t>张湾培训中心2022年食材采购项目</w:t>
      </w:r>
      <w:r>
        <w:rPr>
          <w:rFonts w:cs="Segoe UI" w:asciiTheme="minorEastAsia" w:hAnsiTheme="minorEastAsia" w:eastAsiaTheme="minorEastAsia"/>
          <w:kern w:val="0"/>
          <w:sz w:val="24"/>
        </w:rPr>
        <w:t>的潜在供应商应在中招联合招标采购平台（</w:t>
      </w:r>
      <w:r>
        <w:fldChar w:fldCharType="begin"/>
      </w:r>
      <w:r>
        <w:instrText xml:space="preserve"> HYPERLINK "http://www.365trade.com.cn）获取招标文件，并于2021-1-XX" </w:instrText>
      </w:r>
      <w:r>
        <w:fldChar w:fldCharType="separate"/>
      </w:r>
      <w:r>
        <w:rPr>
          <w:rStyle w:val="103"/>
          <w:rFonts w:cs="Segoe UI" w:asciiTheme="minorEastAsia" w:hAnsiTheme="minorEastAsia" w:eastAsiaTheme="minorEastAsia"/>
          <w:color w:val="auto"/>
          <w:kern w:val="0"/>
          <w:sz w:val="24"/>
          <w:u w:val="none"/>
        </w:rPr>
        <w:t>www.365trade.com.cn）获取磋商文件，并于2021-1-XX</w:t>
      </w:r>
      <w:r>
        <w:rPr>
          <w:rStyle w:val="103"/>
          <w:rFonts w:cs="Segoe UI" w:asciiTheme="minorEastAsia" w:hAnsiTheme="minorEastAsia" w:eastAsiaTheme="minorEastAsia"/>
          <w:color w:val="auto"/>
          <w:kern w:val="0"/>
          <w:sz w:val="24"/>
          <w:u w:val="none"/>
        </w:rPr>
        <w:fldChar w:fldCharType="end"/>
      </w:r>
      <w:r>
        <w:rPr>
          <w:rStyle w:val="103"/>
          <w:rFonts w:cs="Segoe UI" w:asciiTheme="minorEastAsia" w:hAnsiTheme="minorEastAsia" w:eastAsiaTheme="minorEastAsia"/>
          <w:color w:val="auto"/>
          <w:kern w:val="0"/>
          <w:sz w:val="24"/>
          <w:u w:val="none"/>
        </w:rPr>
        <w:t xml:space="preserve"> </w:t>
      </w:r>
      <w:r>
        <w:rPr>
          <w:rFonts w:cs="Segoe UI" w:asciiTheme="minorEastAsia" w:hAnsiTheme="minorEastAsia" w:eastAsiaTheme="minorEastAsia"/>
          <w:kern w:val="0"/>
          <w:sz w:val="24"/>
        </w:rPr>
        <w:t>13:30（北京时间）前递交响应文件。</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一、项目基本情况</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项目编号：</w:t>
      </w:r>
      <w:r>
        <w:rPr>
          <w:rFonts w:hint="eastAsia" w:cs="Arial" w:asciiTheme="minorEastAsia" w:hAnsiTheme="minorEastAsia" w:eastAsiaTheme="minorEastAsia"/>
          <w:sz w:val="24"/>
        </w:rPr>
        <w:t>0733-</w:t>
      </w:r>
      <w:r>
        <w:rPr>
          <w:rFonts w:cs="Arial" w:asciiTheme="minorEastAsia" w:hAnsiTheme="minorEastAsia" w:eastAsiaTheme="minorEastAsia"/>
          <w:sz w:val="24"/>
        </w:rPr>
        <w:t>22130107</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项目名称：</w:t>
      </w:r>
      <w:r>
        <w:rPr>
          <w:rFonts w:hint="eastAsia" w:cs="Segoe UI" w:asciiTheme="minorEastAsia" w:hAnsiTheme="minorEastAsia" w:eastAsiaTheme="minorEastAsia"/>
          <w:kern w:val="0"/>
          <w:sz w:val="24"/>
        </w:rPr>
        <w:t>张湾培训中心2022年食材采购项目</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采购需求：</w:t>
      </w:r>
      <w:r>
        <w:rPr>
          <w:rFonts w:hint="eastAsia" w:cs="Segoe UI" w:asciiTheme="minorEastAsia" w:hAnsiTheme="minorEastAsia" w:eastAsiaTheme="minorEastAsia"/>
          <w:kern w:val="0"/>
          <w:sz w:val="24"/>
        </w:rPr>
        <w:t>拟选取</w:t>
      </w:r>
      <w:r>
        <w:rPr>
          <w:rFonts w:cs="Segoe UI" w:asciiTheme="minorEastAsia" w:hAnsiTheme="minorEastAsia" w:eastAsiaTheme="minorEastAsia"/>
          <w:kern w:val="0"/>
          <w:sz w:val="24"/>
        </w:rPr>
        <w:t>1</w:t>
      </w:r>
      <w:r>
        <w:rPr>
          <w:rFonts w:hint="eastAsia" w:cs="Segoe UI" w:asciiTheme="minorEastAsia" w:hAnsiTheme="minorEastAsia" w:eastAsiaTheme="minorEastAsia"/>
          <w:kern w:val="0"/>
          <w:sz w:val="24"/>
        </w:rPr>
        <w:t>家供应商，主要负责张湾培训中心2022年食材采购</w:t>
      </w:r>
      <w:r>
        <w:rPr>
          <w:rFonts w:hint="eastAsia" w:ascii="Arial" w:hAnsi="Arial" w:cs="Arial"/>
          <w:sz w:val="24"/>
        </w:rPr>
        <w:t>（详见第四章技术需求）。</w:t>
      </w:r>
    </w:p>
    <w:p>
      <w:pPr>
        <w:widowControl/>
        <w:shd w:val="clear" w:color="auto" w:fill="FFFFFF"/>
        <w:spacing w:after="240" w:line="360" w:lineRule="auto"/>
        <w:jc w:val="left"/>
        <w:rPr>
          <w:rFonts w:cs="Segoe UI" w:asciiTheme="minorEastAsia" w:hAnsiTheme="minorEastAsia" w:eastAsiaTheme="minorEastAsia"/>
          <w:kern w:val="0"/>
          <w:sz w:val="24"/>
        </w:rPr>
      </w:pPr>
      <w:r>
        <w:rPr>
          <w:rFonts w:hint="eastAsia" w:cs="Segoe UI" w:asciiTheme="minorEastAsia" w:hAnsiTheme="minorEastAsia" w:eastAsiaTheme="minorEastAsia"/>
          <w:kern w:val="0"/>
          <w:sz w:val="24"/>
        </w:rPr>
        <w:t>合同履行期限：自合同签订之日起12个月。</w:t>
      </w:r>
    </w:p>
    <w:p>
      <w:pPr>
        <w:widowControl/>
        <w:shd w:val="clear" w:color="auto" w:fill="FFFFFF"/>
        <w:spacing w:after="240" w:line="360" w:lineRule="auto"/>
        <w:jc w:val="left"/>
        <w:rPr>
          <w:rFonts w:cs="Segoe UI" w:asciiTheme="minorEastAsia" w:hAnsiTheme="minorEastAsia" w:eastAsiaTheme="minorEastAsia"/>
          <w:kern w:val="0"/>
          <w:sz w:val="24"/>
        </w:rPr>
      </w:pPr>
      <w:r>
        <w:rPr>
          <w:rFonts w:hint="eastAsia" w:cs="Segoe UI" w:asciiTheme="minorEastAsia" w:hAnsiTheme="minorEastAsia" w:eastAsiaTheme="minorEastAsia"/>
          <w:kern w:val="0"/>
          <w:sz w:val="24"/>
        </w:rPr>
        <w:t>服务地点：采购人指定地点。</w:t>
      </w:r>
    </w:p>
    <w:p>
      <w:pPr>
        <w:widowControl/>
        <w:shd w:val="clear" w:color="auto" w:fill="FFFFFF"/>
        <w:spacing w:after="240" w:line="360" w:lineRule="auto"/>
        <w:jc w:val="left"/>
        <w:rPr>
          <w:rFonts w:cs="Segoe UI" w:asciiTheme="minorEastAsia" w:hAnsiTheme="minorEastAsia" w:eastAsiaTheme="minorEastAsia"/>
          <w:kern w:val="0"/>
          <w:sz w:val="24"/>
        </w:rPr>
      </w:pPr>
      <w:r>
        <w:rPr>
          <w:rFonts w:hint="eastAsia" w:cs="Segoe UI" w:asciiTheme="minorEastAsia" w:hAnsiTheme="minorEastAsia" w:eastAsiaTheme="minorEastAsia"/>
          <w:kern w:val="0"/>
          <w:sz w:val="24"/>
        </w:rPr>
        <w:t>本项目预算金额/最高限价：</w:t>
      </w:r>
      <w:r>
        <w:rPr>
          <w:rFonts w:cs="Segoe UI" w:asciiTheme="minorEastAsia" w:hAnsiTheme="minorEastAsia" w:eastAsiaTheme="minorEastAsia"/>
          <w:kern w:val="0"/>
          <w:sz w:val="24"/>
        </w:rPr>
        <w:t>140</w:t>
      </w:r>
      <w:r>
        <w:rPr>
          <w:rFonts w:hint="eastAsia" w:cs="Segoe UI" w:asciiTheme="minorEastAsia" w:hAnsiTheme="minorEastAsia" w:eastAsiaTheme="minorEastAsia"/>
          <w:kern w:val="0"/>
          <w:sz w:val="24"/>
        </w:rPr>
        <w:t>万元（以实际发生金额结算）。</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本项目不接受联合体投标。</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二、申请人的资格要求：</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1.满足《中华人民共和国政府采购法》第二十二条规定；</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2.落实政府采购政策需满足的资格要求：</w:t>
      </w:r>
      <w:r>
        <w:rPr>
          <w:rFonts w:hint="eastAsia" w:cs="Segoe UI" w:asciiTheme="minorEastAsia" w:hAnsiTheme="minorEastAsia" w:eastAsiaTheme="minorEastAsia"/>
          <w:kern w:val="0"/>
          <w:sz w:val="24"/>
        </w:rPr>
        <w:t>无</w:t>
      </w:r>
      <w:r>
        <w:rPr>
          <w:rFonts w:cs="Segoe UI" w:asciiTheme="minorEastAsia" w:hAnsiTheme="minorEastAsia" w:eastAsiaTheme="minorEastAsia"/>
          <w:kern w:val="0"/>
          <w:sz w:val="24"/>
        </w:rPr>
        <w:t>。</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3.本项目的特定资格要求：</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1）满足《中华人民共和国政府采购法》第二十二条要求，包括：具有独立承担民事责任的能力；具有良好的商业信誉和健全的财务会计制度；具有履行合同所必须的设备和专业技术能力；有依法缴纳税收和社会保障资金的良好记录；参加此采购活动前三年内，在经营活动中没有重大违法记录；符合法律、法规规定的其他条件。（2）供应商必须购买磋商文件并登记备案。（3）供应商必须为未被列入“信用中国”网站（www.creditchina.gov.cn）、中国政府采购网（www.ccgp.gov.cn）渠道信用记录失信被执行人、重大税收违法案件当事人名单、政府采购严重违法失信行为记录名单的供应商。（4）本项目不接受联合体投标。</w:t>
      </w:r>
      <w:r>
        <w:rPr>
          <w:rFonts w:hint="eastAsia" w:cs="Segoe UI" w:asciiTheme="minorEastAsia" w:hAnsiTheme="minorEastAsia" w:eastAsiaTheme="minorEastAsia"/>
          <w:kern w:val="0"/>
          <w:sz w:val="24"/>
        </w:rPr>
        <w:t>（5）具有有效的《食品经营许可证》或《食品生产许可证》。</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三、获取磋商文件</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时间：2022-1-XX 至 2021-1-XX，每天上午09:00至11:00，下午13:00至16:00（北京时间，法定节假日除外）</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地点：中招联合招标采购平台（www.365trade.com.cn）</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方式：</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1)本项目为线上售文件和在线收退保证金项目;</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2)凡有意参加的潜在供应商，请前往中招联合招标采购平台（www.365trade.com.cn）注册，平台将对潜在供应商的注册信息与其提供的附件信息进行一致性检查，审核通过即为注册成功，注册成功的供应商按照网站流程添加购买磋商文件并自行下载。</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3）注册成功后搜索项目名称即可报名，报名时需上传的报名资料：</w:t>
      </w:r>
      <w:r>
        <w:rPr>
          <w:rFonts w:cs="微软雅黑" w:asciiTheme="minorEastAsia" w:hAnsiTheme="minorEastAsia" w:eastAsiaTheme="minorEastAsia"/>
          <w:kern w:val="0"/>
          <w:sz w:val="24"/>
        </w:rPr>
        <w:t>①</w:t>
      </w:r>
      <w:r>
        <w:rPr>
          <w:rFonts w:cs="Segoe UI" w:asciiTheme="minorEastAsia" w:hAnsiTheme="minorEastAsia" w:eastAsiaTheme="minorEastAsia"/>
          <w:kern w:val="0"/>
          <w:sz w:val="24"/>
        </w:rPr>
        <w:t>法定代表人（或负责人）授权书复印件加盖公章、</w:t>
      </w:r>
      <w:r>
        <w:rPr>
          <w:rFonts w:cs="微软雅黑" w:asciiTheme="minorEastAsia" w:hAnsiTheme="minorEastAsia" w:eastAsiaTheme="minorEastAsia"/>
          <w:kern w:val="0"/>
          <w:sz w:val="24"/>
        </w:rPr>
        <w:t>②</w:t>
      </w:r>
      <w:r>
        <w:rPr>
          <w:rFonts w:cs="Segoe UI" w:asciiTheme="minorEastAsia" w:hAnsiTheme="minorEastAsia" w:eastAsiaTheme="minorEastAsia"/>
          <w:kern w:val="0"/>
          <w:sz w:val="24"/>
        </w:rPr>
        <w:t>被授权人身份证复印件加盖公章、</w:t>
      </w:r>
      <w:r>
        <w:rPr>
          <w:rFonts w:cs="微软雅黑" w:asciiTheme="minorEastAsia" w:hAnsiTheme="minorEastAsia" w:eastAsiaTheme="minorEastAsia"/>
          <w:kern w:val="0"/>
          <w:sz w:val="24"/>
        </w:rPr>
        <w:t>③</w:t>
      </w:r>
      <w:r>
        <w:rPr>
          <w:rFonts w:cs="Segoe UI" w:asciiTheme="minorEastAsia" w:hAnsiTheme="minorEastAsia" w:eastAsiaTheme="minorEastAsia"/>
          <w:kern w:val="0"/>
          <w:sz w:val="24"/>
        </w:rPr>
        <w:t>企业营业执照副本复印件加盖公章。</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4）文件款缴纳方式：线上缴纳。</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5）供应商购买磋商文件成功后，可在中招联合平台获取缴纳保证金的虚拟账号（平台无支付功能），即可按照磋商文件的具体要求缴纳保证金，不接受现金形式支付保证金。保证金虚拟账号针对不同供应商、项目各不相同，请勿泄露或从他人处获取账号信息。未中标人保证金在发出项目中标结果公告后5个工作日退还，中标人保证金在中标人与招标人签署合同后5个工作日退还。</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注：平台注册和保证金缴纳技术咨询电话：010-86397110（中招联合招标采购平台）。</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6）售价：人民币</w:t>
      </w:r>
      <w:r>
        <w:rPr>
          <w:rFonts w:hint="eastAsia" w:cs="Segoe UI" w:asciiTheme="minorEastAsia" w:hAnsiTheme="minorEastAsia" w:eastAsiaTheme="minorEastAsia"/>
          <w:kern w:val="0"/>
          <w:sz w:val="24"/>
        </w:rPr>
        <w:t>伍</w:t>
      </w:r>
      <w:r>
        <w:rPr>
          <w:rFonts w:cs="Segoe UI" w:asciiTheme="minorEastAsia" w:hAnsiTheme="minorEastAsia" w:eastAsiaTheme="minorEastAsia"/>
          <w:kern w:val="0"/>
          <w:sz w:val="24"/>
        </w:rPr>
        <w:t>佰元整（500元）。磋商文件售后不退。</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售价：￥500 元，本公告包含的磋商文件售价总和</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四、提交响应文件截止时间、磋商时间和地点</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2021-1-XX 13:30（北京时间）</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地点：北京市朝阳区新源南路六号京城大厦主楼4层408会议室</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五、公告期限</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自本公告发布之日起5个工作日。</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六、其他补充事宜</w:t>
      </w:r>
    </w:p>
    <w:p>
      <w:pPr>
        <w:widowControl/>
        <w:shd w:val="clear" w:color="auto" w:fill="FFFFFF"/>
        <w:spacing w:after="240" w:line="360" w:lineRule="auto"/>
        <w:rPr>
          <w:rFonts w:cs="Segoe UI" w:asciiTheme="minorEastAsia" w:hAnsiTheme="minorEastAsia" w:eastAsiaTheme="minorEastAsia"/>
          <w:kern w:val="0"/>
          <w:sz w:val="24"/>
        </w:rPr>
      </w:pPr>
      <w:r>
        <w:rPr>
          <w:rFonts w:cs="Segoe UI" w:asciiTheme="minorEastAsia" w:hAnsiTheme="minorEastAsia" w:eastAsiaTheme="minorEastAsia"/>
          <w:kern w:val="0"/>
          <w:sz w:val="24"/>
        </w:rPr>
        <w:t>1.磋商截止时间：所有响应文件应于2021年1月XX日下午13:30时前递交至北京市朝阳区新源南路六号京城大厦主楼4层408会议室。迟到的响应文件将被视为无效响应文件拒绝接收。2.供应商在</w:t>
      </w:r>
      <w:r>
        <w:rPr>
          <w:rFonts w:hint="eastAsia" w:cs="Segoe UI" w:asciiTheme="minorEastAsia" w:hAnsiTheme="minorEastAsia" w:eastAsiaTheme="minorEastAsia"/>
          <w:kern w:val="0"/>
          <w:sz w:val="24"/>
        </w:rPr>
        <w:t>磋商</w:t>
      </w:r>
      <w:r>
        <w:rPr>
          <w:rFonts w:cs="Segoe UI" w:asciiTheme="minorEastAsia" w:hAnsiTheme="minorEastAsia" w:eastAsiaTheme="minorEastAsia"/>
          <w:kern w:val="0"/>
          <w:sz w:val="24"/>
        </w:rPr>
        <w:t>前必须向招标代理机构交纳固定金额</w:t>
      </w:r>
      <w:r>
        <w:rPr>
          <w:rFonts w:hint="eastAsia" w:cs="Segoe UI" w:asciiTheme="minorEastAsia" w:hAnsiTheme="minorEastAsia" w:eastAsiaTheme="minorEastAsia"/>
          <w:kern w:val="0"/>
          <w:sz w:val="24"/>
        </w:rPr>
        <w:t>贰万伍仟</w:t>
      </w:r>
      <w:r>
        <w:rPr>
          <w:rFonts w:cs="Segoe UI" w:asciiTheme="minorEastAsia" w:hAnsiTheme="minorEastAsia" w:eastAsiaTheme="minorEastAsia"/>
          <w:kern w:val="0"/>
          <w:sz w:val="24"/>
        </w:rPr>
        <w:t>元（¥25,000.00）的磋商保证金。3.</w:t>
      </w:r>
      <w:r>
        <w:rPr>
          <w:rFonts w:hint="eastAsia" w:cs="Segoe UI" w:asciiTheme="minorEastAsia" w:hAnsiTheme="minorEastAsia" w:eastAsiaTheme="minorEastAsia"/>
          <w:kern w:val="0"/>
          <w:sz w:val="24"/>
        </w:rPr>
        <w:t>磋商</w:t>
      </w:r>
      <w:r>
        <w:rPr>
          <w:rFonts w:cs="Segoe UI" w:asciiTheme="minorEastAsia" w:hAnsiTheme="minorEastAsia" w:eastAsiaTheme="minorEastAsia"/>
          <w:kern w:val="0"/>
          <w:sz w:val="24"/>
        </w:rPr>
        <w:t>时间及地点：兹定于2021年1月XX日下午13:30时在北京市朝阳区新源南路六号京城大厦主楼4层408会议室公开磋商，届时请供应商派授权代表出席磋商仪式。4.评标办法和标准：综合评分法。5.公告媒介：中国政府采购网；6.适用法规：《中华人民共和国政府采购法》；《中华人民共和国政府采购法实施条例》及相关法律法规。7.本项目需要落实的政府采购政策：</w:t>
      </w:r>
      <w:r>
        <w:rPr>
          <w:rFonts w:hint="eastAsia" w:cs="Segoe UI" w:asciiTheme="minorEastAsia" w:hAnsiTheme="minorEastAsia" w:eastAsiaTheme="minorEastAsia"/>
          <w:kern w:val="0"/>
          <w:sz w:val="24"/>
        </w:rPr>
        <w:t>无</w:t>
      </w:r>
      <w:r>
        <w:rPr>
          <w:rFonts w:cs="Segoe UI" w:asciiTheme="minorEastAsia" w:hAnsiTheme="minorEastAsia" w:eastAsiaTheme="minorEastAsia"/>
          <w:kern w:val="0"/>
          <w:sz w:val="24"/>
        </w:rPr>
        <w:t>。</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b/>
          <w:bCs/>
          <w:kern w:val="0"/>
          <w:sz w:val="24"/>
        </w:rPr>
        <w:t>七、对本次招标提出询问，请按以下方式联系。</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1.采购人信息</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名 称：</w:t>
      </w:r>
      <w:r>
        <w:rPr>
          <w:rFonts w:hint="eastAsia" w:cs="Segoe UI" w:asciiTheme="minorEastAsia" w:hAnsiTheme="minorEastAsia" w:eastAsiaTheme="minorEastAsia"/>
          <w:kern w:val="0"/>
          <w:sz w:val="24"/>
        </w:rPr>
        <w:t>外交部机关及驻外机构服务中心集中采购中心</w:t>
      </w:r>
      <w:r>
        <w:rPr>
          <w:rFonts w:cs="Segoe UI" w:asciiTheme="minorEastAsia" w:hAnsiTheme="minorEastAsia" w:eastAsiaTheme="minorEastAsia"/>
          <w:kern w:val="0"/>
          <w:sz w:val="24"/>
        </w:rPr>
        <w:t>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地址：</w:t>
      </w:r>
      <w:r>
        <w:rPr>
          <w:rFonts w:hint="eastAsia" w:cs="Segoe UI" w:asciiTheme="minorEastAsia" w:hAnsiTheme="minorEastAsia" w:eastAsiaTheme="minorEastAsia"/>
          <w:kern w:val="0"/>
          <w:sz w:val="24"/>
        </w:rPr>
        <w:t>北京市东城区干面胡同57号</w:t>
      </w:r>
      <w:r>
        <w:rPr>
          <w:rFonts w:cs="Segoe UI" w:asciiTheme="minorEastAsia" w:hAnsiTheme="minorEastAsia" w:eastAsiaTheme="minorEastAsia"/>
          <w:kern w:val="0"/>
          <w:sz w:val="24"/>
        </w:rPr>
        <w:t>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联系方式：</w:t>
      </w:r>
      <w:r>
        <w:rPr>
          <w:rFonts w:hint="eastAsia" w:cs="Segoe UI" w:asciiTheme="minorEastAsia" w:hAnsiTheme="minorEastAsia" w:eastAsiaTheme="minorEastAsia"/>
          <w:kern w:val="0"/>
          <w:sz w:val="24"/>
        </w:rPr>
        <w:t>焦先生 010-85179163</w:t>
      </w:r>
      <w:r>
        <w:rPr>
          <w:rFonts w:cs="Segoe UI" w:asciiTheme="minorEastAsia" w:hAnsiTheme="minorEastAsia" w:eastAsiaTheme="minorEastAsia"/>
          <w:kern w:val="0"/>
          <w:sz w:val="24"/>
        </w:rPr>
        <w:t>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2.采购代理机构信息</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名 称：中信国际招标有限公司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地　址：北京市朝阳区新源南路六号京城大厦A座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联系方式：李金、高子淳，010-84865055-193　　　　　　　　　　　　</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3.项目联系方式</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项目联系人：李金、高子淳</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电　话：010-84865055-193</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地址：北京市朝阳区新源南路六号京城大厦A座</w:t>
      </w:r>
      <w:r>
        <w:rPr>
          <w:rFonts w:hint="eastAsia" w:cs="Segoe UI" w:asciiTheme="minorEastAsia" w:hAnsiTheme="minorEastAsia" w:eastAsiaTheme="minorEastAsia"/>
          <w:kern w:val="0"/>
          <w:sz w:val="24"/>
        </w:rPr>
        <w:t>7层</w:t>
      </w:r>
      <w:r>
        <w:rPr>
          <w:rFonts w:cs="Segoe UI" w:asciiTheme="minorEastAsia" w:hAnsiTheme="minorEastAsia" w:eastAsiaTheme="minorEastAsia"/>
          <w:kern w:val="0"/>
          <w:sz w:val="24"/>
        </w:rPr>
        <w:t>（邮编：100027）</w:t>
      </w:r>
    </w:p>
    <w:bookmarkEnd w:id="49"/>
    <w:bookmarkEnd w:id="50"/>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传真：010-84865255</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电子邮件：</w:t>
      </w:r>
      <w:r>
        <w:rPr>
          <w:rFonts w:hint="eastAsia" w:cs="Segoe UI" w:asciiTheme="minorEastAsia" w:hAnsiTheme="minorEastAsia" w:eastAsiaTheme="minorEastAsia"/>
          <w:kern w:val="0"/>
          <w:sz w:val="24"/>
        </w:rPr>
        <w:t>gaozc@biddingcitic.com；li_jin@biddingcitic.com</w:t>
      </w:r>
    </w:p>
    <w:p>
      <w:pPr>
        <w:spacing w:line="360" w:lineRule="auto"/>
        <w:rPr>
          <w:rFonts w:cs="Arial" w:asciiTheme="minorEastAsia" w:hAnsiTheme="minorEastAsia" w:eastAsiaTheme="minorEastAsia"/>
          <w:sz w:val="24"/>
        </w:rPr>
      </w:pP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户名：中信国际招标有限公司</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开户银行：中信银行北京京城大厦支行</w:t>
      </w:r>
    </w:p>
    <w:p>
      <w:pPr>
        <w:widowControl/>
        <w:shd w:val="clear" w:color="auto" w:fill="FFFFFF"/>
        <w:spacing w:after="240" w:line="360" w:lineRule="auto"/>
        <w:jc w:val="left"/>
        <w:rPr>
          <w:rFonts w:cs="Segoe UI" w:asciiTheme="minorEastAsia" w:hAnsiTheme="minorEastAsia" w:eastAsiaTheme="minorEastAsia"/>
          <w:kern w:val="0"/>
          <w:sz w:val="24"/>
        </w:rPr>
      </w:pPr>
      <w:r>
        <w:rPr>
          <w:rFonts w:cs="Segoe UI" w:asciiTheme="minorEastAsia" w:hAnsiTheme="minorEastAsia" w:eastAsiaTheme="minorEastAsia"/>
          <w:kern w:val="0"/>
          <w:sz w:val="24"/>
        </w:rPr>
        <w:t>账号（人民币）：7110210182600030709</w:t>
      </w:r>
    </w:p>
    <w:p>
      <w:pPr>
        <w:widowControl/>
        <w:shd w:val="clear" w:color="auto" w:fill="FFFFFF"/>
        <w:spacing w:after="240" w:line="360" w:lineRule="auto"/>
        <w:jc w:val="left"/>
        <w:rPr>
          <w:rFonts w:cs="Segoe UI" w:asciiTheme="minorEastAsia" w:hAnsiTheme="minorEastAsia" w:eastAsiaTheme="minorEastAsia"/>
          <w:kern w:val="0"/>
          <w:sz w:val="24"/>
        </w:rPr>
        <w:sectPr>
          <w:footerReference r:id="rId9" w:type="default"/>
          <w:pgSz w:w="11907" w:h="16840"/>
          <w:pgMar w:top="1247" w:right="1247" w:bottom="1247" w:left="1247" w:header="851" w:footer="992" w:gutter="0"/>
          <w:pgNumType w:start="1"/>
          <w:cols w:space="720" w:num="1"/>
          <w:docGrid w:linePitch="312" w:charSpace="40799"/>
        </w:sectPr>
      </w:pPr>
    </w:p>
    <w:p>
      <w:pPr>
        <w:pStyle w:val="3"/>
        <w:numPr>
          <w:ilvl w:val="0"/>
          <w:numId w:val="12"/>
        </w:numPr>
        <w:rPr>
          <w:rFonts w:ascii="Arial" w:hAnsi="Arial" w:cs="Arial"/>
          <w:color w:val="auto"/>
        </w:rPr>
      </w:pPr>
      <w:bookmarkStart w:id="52" w:name="_Hlt527376369"/>
      <w:bookmarkEnd w:id="52"/>
      <w:bookmarkStart w:id="53" w:name="_Toc21916433"/>
      <w:bookmarkStart w:id="54" w:name="_Toc50893609"/>
      <w:bookmarkStart w:id="55" w:name="_Toc46107901"/>
      <w:bookmarkStart w:id="56" w:name="_Toc50985643"/>
      <w:bookmarkStart w:id="57" w:name="_Toc50985438"/>
      <w:bookmarkStart w:id="58" w:name="_Toc67131235"/>
      <w:bookmarkStart w:id="59" w:name="_Toc70081213"/>
      <w:bookmarkStart w:id="60" w:name="_Toc80582193"/>
      <w:bookmarkStart w:id="61" w:name="_Toc70081282"/>
      <w:bookmarkStart w:id="62" w:name="_Toc82246243"/>
      <w:bookmarkStart w:id="63" w:name="_Toc82246187"/>
      <w:bookmarkStart w:id="64" w:name="_Toc82485136"/>
      <w:bookmarkStart w:id="65" w:name="_Toc82328628"/>
      <w:bookmarkStart w:id="66" w:name="_Toc83809626"/>
      <w:bookmarkStart w:id="67" w:name="_Toc82502355"/>
      <w:bookmarkStart w:id="68" w:name="_Toc83810502"/>
      <w:bookmarkStart w:id="69" w:name="_Toc83809750"/>
      <w:bookmarkStart w:id="70" w:name="_Toc83810773"/>
      <w:bookmarkStart w:id="71" w:name="_Toc163975180"/>
      <w:bookmarkStart w:id="72" w:name="_Toc163975682"/>
      <w:bookmarkStart w:id="73" w:name="_Toc24342873"/>
      <w:bookmarkStart w:id="74" w:name="_Toc524703760"/>
      <w:bookmarkStart w:id="75" w:name="_Toc8845606"/>
      <w:bookmarkStart w:id="76" w:name="_Toc524703779"/>
      <w:bookmarkStart w:id="77" w:name="_Toc163975519"/>
      <w:bookmarkStart w:id="78" w:name="_Toc50893946"/>
      <w:bookmarkStart w:id="79" w:name="_Toc21916232"/>
      <w:bookmarkStart w:id="80" w:name="_Toc509027969"/>
      <w:bookmarkStart w:id="81" w:name="_Toc509107561"/>
      <w:bookmarkStart w:id="82" w:name="_Toc509111508"/>
      <w:bookmarkStart w:id="83" w:name="_Toc524092462"/>
      <w:bookmarkStart w:id="84" w:name="_Toc524092610"/>
      <w:bookmarkStart w:id="85" w:name="_Toc524089150"/>
      <w:bookmarkStart w:id="86" w:name="_Toc509111586"/>
      <w:bookmarkStart w:id="87" w:name="_Toc167105205"/>
      <w:bookmarkStart w:id="88" w:name="_Toc163976127"/>
      <w:bookmarkStart w:id="89" w:name="_Toc163975755"/>
      <w:bookmarkStart w:id="90" w:name="_Toc163975944"/>
      <w:bookmarkStart w:id="91" w:name="_Toc185326859"/>
      <w:bookmarkStart w:id="92" w:name="_Toc185151080"/>
      <w:bookmarkStart w:id="93" w:name="_Toc219600803"/>
      <w:bookmarkStart w:id="94" w:name="_Toc184437952"/>
      <w:bookmarkStart w:id="95" w:name="_Toc235608882"/>
      <w:bookmarkStart w:id="96" w:name="_Toc238962519"/>
      <w:bookmarkStart w:id="97" w:name="_Toc21854764"/>
      <w:bookmarkStart w:id="98" w:name="_Toc21861901"/>
      <w:bookmarkStart w:id="99" w:name="_Toc8845679"/>
      <w:bookmarkStart w:id="100" w:name="_Toc8845740"/>
      <w:bookmarkStart w:id="101" w:name="_Toc524092735"/>
      <w:bookmarkStart w:id="102" w:name="_Toc21916300"/>
      <w:bookmarkStart w:id="103" w:name="_Toc92357006"/>
      <w:bookmarkStart w:id="104" w:name="_Toc92965923"/>
      <w:r>
        <w:rPr>
          <w:rFonts w:ascii="Arial" w:hAnsi="Arial" w:cs="Arial"/>
          <w:color w:val="auto"/>
        </w:rPr>
        <w:t>磋商资料表和供应商须知</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4"/>
        <w:keepNext w:val="0"/>
        <w:keepLines w:val="0"/>
        <w:snapToGrid w:val="0"/>
        <w:spacing w:before="0" w:after="0" w:line="360" w:lineRule="auto"/>
        <w:jc w:val="center"/>
        <w:rPr>
          <w:rFonts w:cs="Arial"/>
          <w:b w:val="0"/>
          <w:sz w:val="30"/>
          <w:szCs w:val="30"/>
        </w:rPr>
      </w:pPr>
      <w:bookmarkStart w:id="105" w:name="_Toc27475554"/>
      <w:bookmarkStart w:id="106" w:name="_Toc48061809"/>
      <w:bookmarkStart w:id="107" w:name="_Toc92965924"/>
      <w:bookmarkStart w:id="108" w:name="_Toc92357007"/>
      <w:bookmarkStart w:id="109" w:name="_Toc57032377"/>
      <w:r>
        <w:rPr>
          <w:rFonts w:cs="Arial"/>
          <w:b w:val="0"/>
          <w:sz w:val="30"/>
          <w:szCs w:val="30"/>
        </w:rPr>
        <w:t>磋商资料表</w:t>
      </w:r>
      <w:bookmarkEnd w:id="105"/>
      <w:bookmarkEnd w:id="106"/>
      <w:bookmarkEnd w:id="107"/>
      <w:bookmarkEnd w:id="108"/>
      <w:bookmarkEnd w:id="109"/>
    </w:p>
    <w:p>
      <w:pPr>
        <w:ind w:firstLine="480"/>
        <w:rPr>
          <w:sz w:val="24"/>
        </w:rPr>
      </w:pPr>
      <w:r>
        <w:rPr>
          <w:rFonts w:hint="eastAsia" w:eastAsia="黑体"/>
          <w:sz w:val="24"/>
        </w:rPr>
        <w:t>磋商</w:t>
      </w:r>
      <w:r>
        <w:rPr>
          <w:rFonts w:eastAsia="黑体"/>
          <w:sz w:val="24"/>
        </w:rPr>
        <w:t>资料表</w:t>
      </w:r>
      <w:r>
        <w:rPr>
          <w:sz w:val="24"/>
        </w:rPr>
        <w:t>是对</w:t>
      </w:r>
      <w:r>
        <w:rPr>
          <w:rFonts w:hint="eastAsia"/>
          <w:sz w:val="24"/>
        </w:rPr>
        <w:t>供应商</w:t>
      </w:r>
      <w:r>
        <w:rPr>
          <w:sz w:val="24"/>
        </w:rPr>
        <w:t>须知的</w:t>
      </w:r>
      <w:r>
        <w:rPr>
          <w:rFonts w:hint="eastAsia"/>
          <w:sz w:val="24"/>
        </w:rPr>
        <w:t>具体说明</w:t>
      </w:r>
      <w:r>
        <w:rPr>
          <w:sz w:val="24"/>
        </w:rPr>
        <w:t>，表格中的</w:t>
      </w:r>
      <w:r>
        <w:rPr>
          <w:rFonts w:hint="eastAsia"/>
          <w:sz w:val="24"/>
        </w:rPr>
        <w:t>对应</w:t>
      </w:r>
      <w:r>
        <w:rPr>
          <w:sz w:val="24"/>
        </w:rPr>
        <w:t>条款号是对应</w:t>
      </w:r>
      <w:r>
        <w:rPr>
          <w:rFonts w:hint="eastAsia"/>
          <w:sz w:val="24"/>
        </w:rPr>
        <w:t>供应商</w:t>
      </w:r>
      <w:r>
        <w:rPr>
          <w:sz w:val="24"/>
        </w:rPr>
        <w:t>须知中的条款编号。</w:t>
      </w:r>
    </w:p>
    <w:tbl>
      <w:tblPr>
        <w:tblStyle w:val="88"/>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90"/>
        <w:gridCol w:w="990"/>
        <w:gridCol w:w="6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82" w:type="dxa"/>
            <w:vAlign w:val="center"/>
          </w:tcPr>
          <w:p>
            <w:pPr>
              <w:snapToGrid w:val="0"/>
              <w:jc w:val="center"/>
              <w:rPr>
                <w:rFonts w:ascii="黑体" w:hAnsi="黑体" w:eastAsia="黑体" w:cs="Arial"/>
                <w:sz w:val="24"/>
              </w:rPr>
            </w:pPr>
            <w:bookmarkStart w:id="110" w:name="_Hlk27474600"/>
            <w:bookmarkStart w:id="111" w:name="_Hlk27669985"/>
            <w:r>
              <w:rPr>
                <w:rFonts w:hint="eastAsia" w:ascii="黑体" w:hAnsi="黑体" w:eastAsia="黑体" w:cs="Arial"/>
                <w:sz w:val="24"/>
              </w:rPr>
              <w:t>序</w:t>
            </w:r>
            <w:r>
              <w:rPr>
                <w:rFonts w:ascii="黑体" w:hAnsi="黑体" w:eastAsia="黑体" w:cs="Arial"/>
                <w:sz w:val="24"/>
              </w:rPr>
              <w:t>号</w:t>
            </w:r>
          </w:p>
        </w:tc>
        <w:tc>
          <w:tcPr>
            <w:tcW w:w="990" w:type="dxa"/>
            <w:vAlign w:val="center"/>
          </w:tcPr>
          <w:p>
            <w:pPr>
              <w:snapToGrid w:val="0"/>
              <w:jc w:val="center"/>
              <w:rPr>
                <w:rFonts w:ascii="黑体" w:hAnsi="黑体" w:eastAsia="黑体" w:cs="Arial"/>
                <w:sz w:val="24"/>
              </w:rPr>
            </w:pPr>
            <w:r>
              <w:rPr>
                <w:rFonts w:hint="eastAsia" w:ascii="黑体" w:hAnsi="黑体" w:eastAsia="黑体" w:cs="Arial"/>
                <w:sz w:val="24"/>
              </w:rPr>
              <w:t>内容</w:t>
            </w:r>
          </w:p>
        </w:tc>
        <w:tc>
          <w:tcPr>
            <w:tcW w:w="990" w:type="dxa"/>
            <w:vAlign w:val="center"/>
          </w:tcPr>
          <w:p>
            <w:pPr>
              <w:snapToGrid w:val="0"/>
              <w:jc w:val="center"/>
              <w:rPr>
                <w:rFonts w:ascii="黑体" w:hAnsi="黑体" w:eastAsia="黑体" w:cs="Arial"/>
                <w:sz w:val="24"/>
              </w:rPr>
            </w:pPr>
            <w:r>
              <w:rPr>
                <w:rFonts w:hint="eastAsia" w:ascii="黑体" w:hAnsi="黑体" w:eastAsia="黑体" w:cs="Arial"/>
                <w:sz w:val="24"/>
              </w:rPr>
              <w:t>对应条款号</w:t>
            </w:r>
          </w:p>
        </w:tc>
        <w:tc>
          <w:tcPr>
            <w:tcW w:w="6968" w:type="dxa"/>
            <w:vAlign w:val="center"/>
          </w:tcPr>
          <w:p>
            <w:pPr>
              <w:snapToGrid w:val="0"/>
              <w:jc w:val="center"/>
              <w:rPr>
                <w:rFonts w:ascii="黑体" w:hAnsi="黑体" w:eastAsia="黑体" w:cs="Arial"/>
                <w:sz w:val="24"/>
              </w:rPr>
            </w:pPr>
            <w:r>
              <w:rPr>
                <w:rFonts w:hint="eastAsia" w:ascii="黑体" w:hAnsi="黑体" w:eastAsia="黑体" w:cs="Arial"/>
                <w:sz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项目概述</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1.1</w:t>
            </w:r>
          </w:p>
        </w:tc>
        <w:tc>
          <w:tcPr>
            <w:tcW w:w="6968" w:type="dxa"/>
            <w:vAlign w:val="center"/>
          </w:tcPr>
          <w:p>
            <w:pPr>
              <w:snapToGrid w:val="0"/>
              <w:rPr>
                <w:rFonts w:cs="Arial" w:asciiTheme="minorEastAsia" w:hAnsiTheme="minorEastAsia" w:eastAsiaTheme="minorEastAsia"/>
                <w:sz w:val="24"/>
              </w:rPr>
            </w:pPr>
            <w:r>
              <w:rPr>
                <w:rFonts w:cs="Arial" w:asciiTheme="minorEastAsia" w:hAnsiTheme="minorEastAsia" w:eastAsiaTheme="minorEastAsia"/>
                <w:sz w:val="24"/>
              </w:rPr>
              <w:t>招标人名称：</w:t>
            </w:r>
            <w:r>
              <w:rPr>
                <w:rFonts w:hint="eastAsia" w:cs="Arial" w:asciiTheme="minorEastAsia" w:hAnsiTheme="minorEastAsia" w:eastAsiaTheme="minorEastAsia"/>
                <w:bCs/>
                <w:sz w:val="24"/>
              </w:rPr>
              <w:t>外交部机关及驻外机构服务中心集中采购中心</w:t>
            </w:r>
          </w:p>
          <w:p>
            <w:pPr>
              <w:snapToGrid w:val="0"/>
              <w:rPr>
                <w:rFonts w:cs="Arial" w:asciiTheme="minorEastAsia" w:hAnsiTheme="minorEastAsia" w:eastAsiaTheme="minorEastAsia"/>
                <w:bCs/>
                <w:sz w:val="24"/>
              </w:rPr>
            </w:pPr>
            <w:r>
              <w:rPr>
                <w:rFonts w:cs="Arial" w:asciiTheme="minorEastAsia" w:hAnsiTheme="minorEastAsia" w:eastAsiaTheme="minorEastAsia"/>
                <w:sz w:val="24"/>
              </w:rPr>
              <w:t>项目名称：</w:t>
            </w:r>
            <w:r>
              <w:rPr>
                <w:rFonts w:hint="eastAsia" w:cs="Arial" w:asciiTheme="minorEastAsia" w:hAnsiTheme="minorEastAsia" w:eastAsiaTheme="minorEastAsia"/>
                <w:sz w:val="24"/>
              </w:rPr>
              <w:t>张湾培训中心2022年食材采购项目</w:t>
            </w:r>
          </w:p>
          <w:p>
            <w:pPr>
              <w:snapToGrid w:val="0"/>
              <w:rPr>
                <w:rFonts w:cs="Arial" w:asciiTheme="minorEastAsia" w:hAnsiTheme="minorEastAsia" w:eastAsiaTheme="minorEastAsia"/>
                <w:sz w:val="24"/>
              </w:rPr>
            </w:pPr>
            <w:r>
              <w:rPr>
                <w:rFonts w:cs="Arial" w:asciiTheme="minorEastAsia" w:hAnsiTheme="minorEastAsia" w:eastAsiaTheme="minorEastAsia"/>
                <w:sz w:val="24"/>
              </w:rPr>
              <w:t>招标编号：0733-22130107</w:t>
            </w:r>
          </w:p>
          <w:p>
            <w:pPr>
              <w:snapToGrid w:val="0"/>
              <w:rPr>
                <w:rFonts w:cs="Arial" w:asciiTheme="minorEastAsia" w:hAnsiTheme="minorEastAsia" w:eastAsiaTheme="minorEastAsia"/>
                <w:sz w:val="24"/>
              </w:rPr>
            </w:pPr>
            <w:r>
              <w:rPr>
                <w:rFonts w:cs="Arial" w:asciiTheme="minorEastAsia" w:hAnsiTheme="minorEastAsia" w:eastAsiaTheme="minorEastAsia"/>
                <w:sz w:val="24"/>
              </w:rPr>
              <w:t>招标内容：</w:t>
            </w:r>
            <w:r>
              <w:rPr>
                <w:rFonts w:hint="eastAsia" w:cs="Arial" w:asciiTheme="minorEastAsia" w:hAnsiTheme="minorEastAsia" w:eastAsiaTheme="minorEastAsia"/>
                <w:sz w:val="24"/>
              </w:rPr>
              <w:t>详见磋商公告第一项。</w:t>
            </w:r>
          </w:p>
          <w:p>
            <w:pPr>
              <w:snapToGrid w:val="0"/>
              <w:rPr>
                <w:rFonts w:cs="Arial" w:asciiTheme="minorEastAsia" w:hAnsiTheme="minorEastAsia" w:eastAsiaTheme="minorEastAsia"/>
                <w:sz w:val="24"/>
              </w:rPr>
            </w:pPr>
            <w:r>
              <w:rPr>
                <w:rFonts w:cs="Arial" w:asciiTheme="minorEastAsia" w:hAnsiTheme="minorEastAsia" w:eastAsiaTheme="minorEastAsia"/>
                <w:sz w:val="24"/>
              </w:rPr>
              <w:t>招标代理机构名称：中信国际招标有限公司</w:t>
            </w:r>
          </w:p>
          <w:p>
            <w:pPr>
              <w:snapToGrid w:val="0"/>
              <w:rPr>
                <w:rFonts w:cs="Arial" w:asciiTheme="minorEastAsia" w:hAnsiTheme="minorEastAsia" w:eastAsiaTheme="minorEastAsia"/>
                <w:sz w:val="24"/>
              </w:rPr>
            </w:pPr>
            <w:r>
              <w:rPr>
                <w:rFonts w:cs="Arial" w:asciiTheme="minorEastAsia" w:hAnsiTheme="minorEastAsia" w:eastAsiaTheme="minorEastAsia"/>
                <w:sz w:val="24"/>
              </w:rPr>
              <w:t>招标代理机构地址：北京市朝阳区新源南路六号京城大厦A座7层（邮编：100027）</w:t>
            </w:r>
          </w:p>
          <w:p>
            <w:pPr>
              <w:snapToGrid w:val="0"/>
              <w:rPr>
                <w:rFonts w:cs="Arial" w:asciiTheme="minorEastAsia" w:hAnsiTheme="minorEastAsia" w:eastAsiaTheme="minorEastAsia"/>
                <w:sz w:val="24"/>
              </w:rPr>
            </w:pPr>
            <w:r>
              <w:rPr>
                <w:rFonts w:cs="Arial" w:asciiTheme="minorEastAsia" w:hAnsiTheme="minorEastAsia" w:eastAsiaTheme="minorEastAsia"/>
                <w:sz w:val="24"/>
              </w:rPr>
              <w:t>电话：010-84865055-193</w:t>
            </w:r>
          </w:p>
          <w:p>
            <w:pPr>
              <w:snapToGrid w:val="0"/>
              <w:rPr>
                <w:rFonts w:cs="Arial" w:asciiTheme="minorEastAsia" w:hAnsiTheme="minorEastAsia" w:eastAsiaTheme="minorEastAsia"/>
                <w:sz w:val="24"/>
                <w:u w:val="single"/>
              </w:rPr>
            </w:pPr>
            <w:r>
              <w:rPr>
                <w:rFonts w:cs="Arial" w:asciiTheme="minorEastAsia" w:hAnsiTheme="minorEastAsia" w:eastAsiaTheme="minorEastAsia"/>
                <w:sz w:val="24"/>
              </w:rPr>
              <w:t>传真：010-84865255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2</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*供应商的资格要求</w:t>
            </w:r>
          </w:p>
        </w:tc>
        <w:tc>
          <w:tcPr>
            <w:tcW w:w="990" w:type="dxa"/>
            <w:vAlign w:val="center"/>
          </w:tcPr>
          <w:p>
            <w:pPr>
              <w:snapToGrid w:val="0"/>
              <w:jc w:val="center"/>
              <w:rPr>
                <w:rFonts w:cs="Arial" w:asciiTheme="minorEastAsia" w:hAnsiTheme="minorEastAsia" w:eastAsiaTheme="minorEastAsia"/>
                <w:sz w:val="24"/>
              </w:rPr>
            </w:pPr>
            <w:r>
              <w:rPr>
                <w:rFonts w:cs="Arial" w:asciiTheme="minorEastAsia" w:hAnsiTheme="minorEastAsia" w:eastAsiaTheme="minorEastAsia"/>
                <w:sz w:val="24"/>
              </w:rPr>
              <w:t>2.</w:t>
            </w:r>
            <w:r>
              <w:rPr>
                <w:rFonts w:hint="eastAsia" w:cs="Arial" w:asciiTheme="minorEastAsia" w:hAnsiTheme="minorEastAsia" w:eastAsiaTheme="minorEastAsia"/>
                <w:sz w:val="24"/>
              </w:rPr>
              <w:t>1</w:t>
            </w:r>
          </w:p>
        </w:tc>
        <w:tc>
          <w:tcPr>
            <w:tcW w:w="6968" w:type="dxa"/>
            <w:vAlign w:val="center"/>
          </w:tcPr>
          <w:p>
            <w:pPr>
              <w:snapToGrid w:val="0"/>
              <w:rPr>
                <w:rFonts w:cs="Arial" w:asciiTheme="minorEastAsia" w:hAnsiTheme="minorEastAsia" w:eastAsiaTheme="minorEastAsia"/>
                <w:bCs/>
                <w:sz w:val="24"/>
              </w:rPr>
            </w:pPr>
            <w:r>
              <w:rPr>
                <w:rFonts w:hint="eastAsia" w:cs="Arial" w:asciiTheme="minorEastAsia" w:hAnsiTheme="minorEastAsia" w:eastAsiaTheme="minorEastAsia"/>
                <w:sz w:val="24"/>
              </w:rPr>
              <w:t>详见磋商公告第二项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3</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*对联合体参与响应的要求</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2.2</w:t>
            </w:r>
          </w:p>
        </w:tc>
        <w:tc>
          <w:tcPr>
            <w:tcW w:w="6968" w:type="dxa"/>
            <w:vAlign w:val="center"/>
          </w:tcPr>
          <w:p>
            <w:pPr>
              <w:snapToGrid w:val="0"/>
              <w:rPr>
                <w:rFonts w:cs="Arial" w:asciiTheme="minorEastAsia" w:hAnsiTheme="minorEastAsia" w:eastAsiaTheme="minorEastAsia"/>
                <w:bCs/>
                <w:sz w:val="24"/>
              </w:rPr>
            </w:pPr>
            <w:r>
              <w:rPr>
                <w:rFonts w:cs="Arial" w:asciiTheme="minorEastAsia" w:hAnsiTheme="minorEastAsia" w:eastAsiaTheme="minorEastAsia"/>
                <w:bCs/>
                <w:sz w:val="24"/>
              </w:rPr>
              <w:t>对联合体的要求：本项目</w:t>
            </w:r>
            <w:r>
              <w:rPr>
                <w:rFonts w:cs="Arial" w:asciiTheme="minorEastAsia" w:hAnsiTheme="minorEastAsia" w:eastAsiaTheme="minorEastAsia"/>
                <w:bCs/>
                <w:sz w:val="24"/>
                <w:u w:val="single"/>
              </w:rPr>
              <w:t>不接受</w:t>
            </w:r>
            <w:r>
              <w:rPr>
                <w:rFonts w:cs="Arial" w:asciiTheme="minorEastAsia" w:hAnsiTheme="minorEastAsia" w:eastAsiaTheme="minorEastAsia"/>
                <w:bCs/>
                <w:sz w:val="24"/>
              </w:rPr>
              <w:t>联合体投标。并且不得将本项目内容以任何方式进行转包、分包。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4</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现场踏勘</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7.4</w:t>
            </w:r>
          </w:p>
        </w:tc>
        <w:tc>
          <w:tcPr>
            <w:tcW w:w="6968" w:type="dxa"/>
            <w:vAlign w:val="center"/>
          </w:tcPr>
          <w:p>
            <w:pPr>
              <w:widowControl/>
              <w:snapToGrid w:val="0"/>
              <w:rPr>
                <w:rFonts w:cs="Arial" w:asciiTheme="minorEastAsia" w:hAnsiTheme="minorEastAsia" w:eastAsiaTheme="minorEastAsia"/>
                <w:bCs/>
                <w:sz w:val="24"/>
              </w:rPr>
            </w:pPr>
            <w:r>
              <w:rPr>
                <w:rFonts w:hint="eastAsia" w:cs="Arial" w:asciiTheme="minorEastAsia" w:hAnsiTheme="minorEastAsia" w:eastAsiaTheme="minorEastAsia"/>
                <w:bCs/>
                <w:sz w:val="24"/>
              </w:rPr>
              <w:t>现场踏勘安排：无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5</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答疑会</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7.5</w:t>
            </w:r>
          </w:p>
        </w:tc>
        <w:tc>
          <w:tcPr>
            <w:tcW w:w="6968" w:type="dxa"/>
            <w:vAlign w:val="center"/>
          </w:tcPr>
          <w:p>
            <w:pPr>
              <w:widowControl/>
              <w:snapToGrid w:val="0"/>
              <w:rPr>
                <w:rFonts w:cs="Arial" w:asciiTheme="minorEastAsia" w:hAnsiTheme="minorEastAsia" w:eastAsiaTheme="minorEastAsia"/>
                <w:bCs/>
                <w:sz w:val="24"/>
              </w:rPr>
            </w:pPr>
            <w:r>
              <w:rPr>
                <w:rFonts w:hint="eastAsia" w:cs="Arial" w:asciiTheme="minorEastAsia" w:hAnsiTheme="minorEastAsia" w:eastAsiaTheme="minorEastAsia"/>
                <w:bCs/>
                <w:sz w:val="24"/>
              </w:rPr>
              <w:t>答疑会安排：无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682" w:type="dxa"/>
            <w:vMerge w:val="restart"/>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6</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*响应文件的构成</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9.1</w:t>
            </w:r>
          </w:p>
        </w:tc>
        <w:tc>
          <w:tcPr>
            <w:tcW w:w="6968" w:type="dxa"/>
            <w:vAlign w:val="center"/>
          </w:tcPr>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应答函（格式见附件1）；</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报价一览表（格式见附件2）；</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分项报价表（格式见附件3）；</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技术规格偏离表（格式见附件4）；</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商务条款偏离表（格式见附件5）；</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法定代表人授权书（授权代表为非法定代表人时提供，格式见附件6）；</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磋商保证金承诺函（格式见附件7）；</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招标服务费承诺函（格式见附件8）；</w:t>
            </w:r>
          </w:p>
          <w:p>
            <w:pPr>
              <w:tabs>
                <w:tab w:val="left" w:pos="740"/>
              </w:tabs>
              <w:snapToGrid w:val="0"/>
              <w:ind w:left="420"/>
              <w:rPr>
                <w:rFonts w:cs="Arial" w:asciiTheme="minorEastAsia" w:hAnsiTheme="minorEastAsia" w:eastAsiaTheme="minorEastAsia"/>
                <w:sz w:val="24"/>
              </w:rPr>
            </w:pPr>
            <w:r>
              <w:rPr>
                <w:rFonts w:cs="Arial" w:asciiTheme="minorEastAsia" w:hAnsiTheme="minorEastAsia" w:eastAsiaTheme="minorEastAsia"/>
                <w:sz w:val="24"/>
              </w:rPr>
              <w:t>供应商情况表（格式见附件9）；</w:t>
            </w:r>
          </w:p>
          <w:p>
            <w:pPr>
              <w:numPr>
                <w:ilvl w:val="0"/>
                <w:numId w:val="7"/>
              </w:numPr>
              <w:tabs>
                <w:tab w:val="left" w:pos="740"/>
              </w:tabs>
              <w:snapToGrid w:val="0"/>
              <w:rPr>
                <w:rFonts w:cs="Arial" w:asciiTheme="minorEastAsia" w:hAnsiTheme="minorEastAsia" w:eastAsiaTheme="minorEastAsia"/>
                <w:sz w:val="24"/>
              </w:rPr>
            </w:pPr>
            <w:r>
              <w:rPr>
                <w:rFonts w:cs="Arial" w:asciiTheme="minorEastAsia" w:hAnsiTheme="minorEastAsia" w:eastAsiaTheme="minorEastAsia"/>
                <w:sz w:val="24"/>
              </w:rPr>
              <w:t>资格证明文件，包括：</w:t>
            </w:r>
          </w:p>
          <w:p>
            <w:pPr>
              <w:pStyle w:val="45"/>
              <w:numPr>
                <w:ilvl w:val="0"/>
                <w:numId w:val="13"/>
              </w:numPr>
              <w:tabs>
                <w:tab w:val="left" w:pos="456"/>
              </w:tabs>
              <w:snapToGrid w:val="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有效的企业法人营业执照副本</w:t>
            </w:r>
            <w:r>
              <w:rPr>
                <w:rFonts w:cs="Arial" w:asciiTheme="minorEastAsia" w:hAnsiTheme="minorEastAsia" w:eastAsiaTheme="minorEastAsia"/>
                <w:sz w:val="24"/>
                <w:szCs w:val="24"/>
              </w:rPr>
              <w:t>（或事业单位法人证书）</w:t>
            </w:r>
            <w:r>
              <w:rPr>
                <w:rFonts w:hint="eastAsia" w:cs="Arial" w:asciiTheme="minorEastAsia" w:hAnsiTheme="minorEastAsia" w:eastAsiaTheme="minorEastAsia"/>
                <w:sz w:val="24"/>
                <w:szCs w:val="24"/>
              </w:rPr>
              <w:t>、税务登记证、组织机构代码证复印件，或“三证合一证书”复印件；</w:t>
            </w:r>
          </w:p>
          <w:p>
            <w:pPr>
              <w:pStyle w:val="45"/>
              <w:numPr>
                <w:ilvl w:val="0"/>
                <w:numId w:val="13"/>
              </w:numPr>
              <w:tabs>
                <w:tab w:val="left" w:pos="456"/>
              </w:tabs>
              <w:snapToGrid w:val="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经会计师事务所审计的20</w:t>
            </w:r>
            <w:r>
              <w:rPr>
                <w:rFonts w:cs="Arial" w:asciiTheme="minorEastAsia" w:hAnsiTheme="minorEastAsia" w:eastAsiaTheme="minorEastAsia"/>
                <w:sz w:val="24"/>
                <w:szCs w:val="24"/>
              </w:rPr>
              <w:t>20</w:t>
            </w:r>
            <w:r>
              <w:rPr>
                <w:rFonts w:hint="eastAsia" w:cs="Arial" w:asciiTheme="minorEastAsia" w:hAnsiTheme="minorEastAsia" w:eastAsiaTheme="minorEastAsia"/>
                <w:sz w:val="24"/>
                <w:szCs w:val="24"/>
              </w:rPr>
              <w:t>年</w:t>
            </w:r>
            <w:r>
              <w:rPr>
                <w:rFonts w:cs="Arial" w:asciiTheme="minorEastAsia" w:hAnsiTheme="minorEastAsia" w:eastAsiaTheme="minorEastAsia"/>
                <w:sz w:val="24"/>
                <w:szCs w:val="24"/>
              </w:rPr>
              <w:t>度</w:t>
            </w:r>
            <w:r>
              <w:rPr>
                <w:rFonts w:hint="eastAsia" w:cs="Arial" w:asciiTheme="minorEastAsia" w:hAnsiTheme="minorEastAsia" w:eastAsiaTheme="minorEastAsia"/>
                <w:sz w:val="24"/>
                <w:szCs w:val="24"/>
              </w:rPr>
              <w:t>财务审计报告复印件或磋商前三个月内（2</w:t>
            </w:r>
            <w:r>
              <w:rPr>
                <w:rFonts w:cs="Arial" w:asciiTheme="minorEastAsia" w:hAnsiTheme="minorEastAsia" w:eastAsiaTheme="minorEastAsia"/>
                <w:sz w:val="24"/>
                <w:szCs w:val="24"/>
              </w:rPr>
              <w:t>021</w:t>
            </w:r>
            <w:r>
              <w:rPr>
                <w:rFonts w:hint="eastAsia" w:cs="Arial" w:asciiTheme="minorEastAsia" w:hAnsiTheme="minorEastAsia" w:eastAsiaTheme="minorEastAsia"/>
                <w:sz w:val="24"/>
                <w:szCs w:val="24"/>
              </w:rPr>
              <w:t>年</w:t>
            </w:r>
            <w:r>
              <w:rPr>
                <w:rFonts w:cs="Arial" w:asciiTheme="minorEastAsia" w:hAnsiTheme="minorEastAsia" w:eastAsiaTheme="minorEastAsia"/>
                <w:sz w:val="24"/>
                <w:szCs w:val="24"/>
              </w:rPr>
              <w:t>12</w:t>
            </w:r>
            <w:r>
              <w:rPr>
                <w:rFonts w:hint="eastAsia" w:cs="Arial" w:asciiTheme="minorEastAsia" w:hAnsiTheme="minorEastAsia" w:eastAsiaTheme="minorEastAsia"/>
                <w:sz w:val="24"/>
                <w:szCs w:val="24"/>
              </w:rPr>
              <w:t>月、</w:t>
            </w:r>
            <w:r>
              <w:rPr>
                <w:rFonts w:cs="Arial" w:asciiTheme="minorEastAsia" w:hAnsiTheme="minorEastAsia" w:eastAsiaTheme="minorEastAsia"/>
                <w:sz w:val="24"/>
                <w:szCs w:val="24"/>
              </w:rPr>
              <w:t>11</w:t>
            </w:r>
            <w:r>
              <w:rPr>
                <w:rFonts w:hint="eastAsia" w:cs="Arial" w:asciiTheme="minorEastAsia" w:hAnsiTheme="minorEastAsia" w:eastAsiaTheme="minorEastAsia"/>
                <w:sz w:val="24"/>
                <w:szCs w:val="24"/>
              </w:rPr>
              <w:t>月、</w:t>
            </w:r>
            <w:r>
              <w:rPr>
                <w:rFonts w:cs="Arial" w:asciiTheme="minorEastAsia" w:hAnsiTheme="minorEastAsia" w:eastAsiaTheme="minorEastAsia"/>
                <w:sz w:val="24"/>
                <w:szCs w:val="24"/>
              </w:rPr>
              <w:t>10</w:t>
            </w:r>
            <w:r>
              <w:rPr>
                <w:rFonts w:hint="eastAsia" w:cs="Arial" w:asciiTheme="minorEastAsia" w:hAnsiTheme="minorEastAsia" w:eastAsiaTheme="minorEastAsia"/>
                <w:sz w:val="24"/>
                <w:szCs w:val="24"/>
              </w:rPr>
              <w:t>月任意一个月）供应商开户银行出具的资信证明（银行资信证明可以是复印件加盖本单位公章；存款证明无效）；</w:t>
            </w:r>
          </w:p>
          <w:p>
            <w:pPr>
              <w:pStyle w:val="45"/>
              <w:numPr>
                <w:ilvl w:val="0"/>
                <w:numId w:val="13"/>
              </w:numPr>
              <w:tabs>
                <w:tab w:val="left" w:pos="456"/>
              </w:tabs>
              <w:snapToGrid w:val="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2021年1月1日以来，任意一个月依法缴纳税收</w:t>
            </w:r>
            <w:r>
              <w:rPr>
                <w:rFonts w:asciiTheme="minorEastAsia" w:hAnsiTheme="minorEastAsia" w:eastAsiaTheme="minorEastAsia"/>
                <w:bCs/>
                <w:sz w:val="24"/>
                <w:szCs w:val="24"/>
              </w:rPr>
              <w:t>（</w:t>
            </w:r>
            <w:r>
              <w:rPr>
                <w:rFonts w:asciiTheme="minorEastAsia" w:hAnsiTheme="minorEastAsia" w:eastAsiaTheme="minorEastAsia"/>
                <w:b/>
                <w:bCs/>
                <w:sz w:val="24"/>
                <w:szCs w:val="24"/>
              </w:rPr>
              <w:t>不接受个人所得税和印花税</w:t>
            </w:r>
            <w:r>
              <w:rPr>
                <w:rFonts w:asciiTheme="minorEastAsia" w:hAnsiTheme="minorEastAsia" w:eastAsiaTheme="minorEastAsia"/>
                <w:bCs/>
                <w:sz w:val="24"/>
                <w:szCs w:val="24"/>
              </w:rPr>
              <w:t>）</w:t>
            </w:r>
            <w:r>
              <w:rPr>
                <w:rFonts w:hint="eastAsia" w:cs="Arial" w:asciiTheme="minorEastAsia" w:hAnsiTheme="minorEastAsia" w:eastAsiaTheme="minorEastAsia"/>
                <w:sz w:val="24"/>
                <w:szCs w:val="24"/>
              </w:rPr>
              <w:t>证明文件复印件；</w:t>
            </w:r>
          </w:p>
          <w:p>
            <w:pPr>
              <w:pStyle w:val="45"/>
              <w:numPr>
                <w:ilvl w:val="0"/>
                <w:numId w:val="13"/>
              </w:numPr>
              <w:tabs>
                <w:tab w:val="left" w:pos="456"/>
              </w:tabs>
              <w:snapToGrid w:val="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2021年1月1日以来，任意一个月社会保障资金证明文件复印件；</w:t>
            </w:r>
          </w:p>
          <w:p>
            <w:pPr>
              <w:numPr>
                <w:ilvl w:val="0"/>
                <w:numId w:val="13"/>
              </w:numPr>
              <w:rPr>
                <w:rFonts w:cs="Arial" w:asciiTheme="minorEastAsia" w:hAnsiTheme="minorEastAsia" w:eastAsiaTheme="minorEastAsia"/>
                <w:sz w:val="24"/>
              </w:rPr>
            </w:pPr>
            <w:r>
              <w:rPr>
                <w:rFonts w:hint="eastAsia" w:cs="Arial" w:asciiTheme="minorEastAsia" w:hAnsiTheme="minorEastAsia" w:eastAsiaTheme="minorEastAsia"/>
                <w:sz w:val="24"/>
              </w:rPr>
              <w:t>根据财库〔2016〕125号《财政部关于在政府采购活动中查询及使用信用记录有关问题的通知》的要求，供应商不能是被列入“信用中国”网站(www.creditchina.gov.cn)失信被执行人、重大税收违法案件当事人名单、以及“中国政府采购网”网站（www.ccgp.gov.cn）政府采购严重违法失信行为记录名单中被禁止参加1-3年政府采购活动的供应商（处罚期限尚未届满的）：本项不需提供证明文件，以谈判时间截止当日采购人或采购代理机构网上查询结果为准，并由采购代理机构留存打印截图。若查询结果涉及上述失信情况的，其响应无效。</w:t>
            </w:r>
          </w:p>
          <w:p>
            <w:pPr>
              <w:numPr>
                <w:ilvl w:val="0"/>
                <w:numId w:val="13"/>
              </w:numPr>
              <w:rPr>
                <w:rFonts w:cs="Arial" w:asciiTheme="minorEastAsia" w:hAnsiTheme="minorEastAsia" w:eastAsiaTheme="minorEastAsia"/>
                <w:sz w:val="24"/>
              </w:rPr>
            </w:pPr>
            <w:r>
              <w:rPr>
                <w:rFonts w:hint="eastAsia" w:cs="Arial" w:asciiTheme="minorEastAsia" w:hAnsiTheme="minorEastAsia" w:eastAsiaTheme="minorEastAsia"/>
                <w:sz w:val="24"/>
              </w:rPr>
              <w:t>供应商的承诺函（原件加盖公章，见第六章响应文件格式附件10）</w:t>
            </w:r>
          </w:p>
          <w:p>
            <w:pPr>
              <w:numPr>
                <w:ilvl w:val="0"/>
                <w:numId w:val="13"/>
              </w:numPr>
              <w:rPr>
                <w:rFonts w:cs="Arial" w:asciiTheme="minorEastAsia" w:hAnsiTheme="minorEastAsia" w:eastAsiaTheme="minorEastAsia"/>
                <w:sz w:val="24"/>
              </w:rPr>
            </w:pPr>
            <w:r>
              <w:rPr>
                <w:rFonts w:hint="eastAsia" w:cs="Arial" w:asciiTheme="minorEastAsia" w:hAnsiTheme="minorEastAsia" w:eastAsiaTheme="minorEastAsia"/>
                <w:sz w:val="24"/>
              </w:rPr>
              <w:t>供应商须提供</w:t>
            </w:r>
            <w:r>
              <w:rPr>
                <w:rFonts w:hint="eastAsia" w:cs="Segoe UI" w:asciiTheme="minorEastAsia" w:hAnsiTheme="minorEastAsia" w:eastAsiaTheme="minorEastAsia"/>
                <w:kern w:val="0"/>
                <w:sz w:val="24"/>
              </w:rPr>
              <w:t>有效的《食品经营许可证》或《食品生产许可证》。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pPr>
              <w:snapToGrid w:val="0"/>
              <w:jc w:val="center"/>
              <w:rPr>
                <w:rFonts w:cs="Arial" w:asciiTheme="minorEastAsia" w:hAnsiTheme="minorEastAsia" w:eastAsiaTheme="minorEastAsia"/>
                <w:sz w:val="24"/>
              </w:rPr>
            </w:pP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响应文件的构成（非</w:t>
            </w:r>
            <w:r>
              <w:rPr>
                <w:rFonts w:cs="Arial" w:asciiTheme="minorEastAsia" w:hAnsiTheme="minorEastAsia" w:eastAsiaTheme="minorEastAsia"/>
                <w:sz w:val="24"/>
              </w:rPr>
              <w:t>*号项</w:t>
            </w:r>
            <w:r>
              <w:rPr>
                <w:rFonts w:hint="eastAsia" w:cs="Arial" w:asciiTheme="minorEastAsia" w:hAnsiTheme="minorEastAsia" w:eastAsiaTheme="minorEastAsia"/>
                <w:sz w:val="24"/>
              </w:rPr>
              <w:t>）</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9.1</w:t>
            </w:r>
          </w:p>
        </w:tc>
        <w:tc>
          <w:tcPr>
            <w:tcW w:w="6968" w:type="dxa"/>
            <w:vAlign w:val="center"/>
          </w:tcPr>
          <w:p>
            <w:pPr>
              <w:numPr>
                <w:ilvl w:val="0"/>
                <w:numId w:val="8"/>
              </w:numPr>
              <w:tabs>
                <w:tab w:val="left" w:pos="456"/>
              </w:tabs>
              <w:snapToGrid w:val="0"/>
              <w:rPr>
                <w:rFonts w:cs="Arial" w:asciiTheme="minorEastAsia" w:hAnsiTheme="minorEastAsia" w:eastAsiaTheme="minorEastAsia"/>
                <w:sz w:val="24"/>
              </w:rPr>
            </w:pPr>
            <w:r>
              <w:rPr>
                <w:rFonts w:cs="Arial" w:asciiTheme="minorEastAsia" w:hAnsiTheme="minorEastAsia" w:eastAsiaTheme="minorEastAsia"/>
                <w:sz w:val="24"/>
              </w:rPr>
              <w:t>评标细则提及或供应商认为需要提供的其他证明材料。</w:t>
            </w:r>
          </w:p>
          <w:p>
            <w:pPr>
              <w:snapToGrid w:val="0"/>
              <w:rPr>
                <w:rFonts w:cs="Arial" w:asciiTheme="minorEastAsia" w:hAnsiTheme="minorEastAsia" w:eastAsiaTheme="minorEastAsia"/>
                <w:sz w:val="24"/>
              </w:rPr>
            </w:pPr>
            <w:r>
              <w:rPr>
                <w:rFonts w:hint="eastAsia" w:cs="Arial" w:asciiTheme="minorEastAsia" w:hAnsiTheme="minorEastAsia" w:eastAsiaTheme="minorEastAsia"/>
                <w:sz w:val="24"/>
              </w:rPr>
              <w:t>注证明材料：类似项目业绩以提供的合同为准，要求必须提供供应商签订的合同首页、签字盖章页及相关内容页复印件，其中需反映出评分所需内容。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7</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响应文件份数</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10.5</w:t>
            </w:r>
          </w:p>
        </w:tc>
        <w:tc>
          <w:tcPr>
            <w:tcW w:w="6968" w:type="dxa"/>
            <w:vAlign w:val="center"/>
          </w:tcPr>
          <w:p>
            <w:pPr>
              <w:snapToGrid w:val="0"/>
              <w:rPr>
                <w:rFonts w:cs="Arial" w:asciiTheme="minorEastAsia" w:hAnsiTheme="minorEastAsia" w:eastAsiaTheme="minorEastAsia"/>
                <w:sz w:val="24"/>
              </w:rPr>
            </w:pPr>
            <w:r>
              <w:rPr>
                <w:rFonts w:hint="eastAsia" w:cs="Arial" w:asciiTheme="minorEastAsia" w:hAnsiTheme="minorEastAsia" w:eastAsiaTheme="minorEastAsia"/>
                <w:sz w:val="24"/>
              </w:rPr>
              <w:t>响应</w:t>
            </w:r>
            <w:r>
              <w:rPr>
                <w:rFonts w:cs="Arial" w:asciiTheme="minorEastAsia" w:hAnsiTheme="minorEastAsia" w:eastAsiaTheme="minorEastAsia"/>
                <w:sz w:val="24"/>
              </w:rPr>
              <w:t>文件的份数：正本1份，副本3份，电子文档1份</w:t>
            </w:r>
            <w:r>
              <w:rPr>
                <w:rFonts w:hint="eastAsia" w:cs="Arial" w:asciiTheme="minorEastAsia" w:hAnsiTheme="minorEastAsia" w:eastAsiaTheme="minorEastAsia"/>
                <w:sz w:val="24"/>
              </w:rPr>
              <w:t>（以U盘形式提供），每份均应包含纸质响应文件全 部内容（每份电子版中均应含word等可编辑文件与响应文件盖章 扫描后的pdf文件各1份，响应文件包括的其他电子文档也应包含在内）</w:t>
            </w:r>
            <w:r>
              <w:rPr>
                <w:rFonts w:cs="Arial" w:asciiTheme="minorEastAsia" w:hAnsiTheme="minorEastAsia" w:eastAsiaTheme="minorEastAsia"/>
                <w:sz w:val="24"/>
              </w:rPr>
              <w:t>。</w:t>
            </w:r>
          </w:p>
          <w:p>
            <w:pPr>
              <w:snapToGrid w:val="0"/>
              <w:rPr>
                <w:rFonts w:cs="Arial" w:asciiTheme="minorEastAsia" w:hAnsiTheme="minorEastAsia" w:eastAsiaTheme="minorEastAsia"/>
                <w:b/>
                <w:bCs/>
                <w:sz w:val="24"/>
              </w:rPr>
            </w:pPr>
            <w:r>
              <w:rPr>
                <w:rFonts w:hint="eastAsia" w:cs="Arial" w:asciiTheme="minorEastAsia" w:hAnsiTheme="minorEastAsia" w:eastAsiaTheme="minorEastAsia"/>
                <w:b/>
                <w:bCs/>
                <w:sz w:val="24"/>
              </w:rPr>
              <w:t>投标应人充分考虑环保因素标，推荐书纸张正反面打印。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8</w:t>
            </w:r>
          </w:p>
        </w:tc>
        <w:tc>
          <w:tcPr>
            <w:tcW w:w="990" w:type="dxa"/>
            <w:vAlign w:val="center"/>
          </w:tcPr>
          <w:p>
            <w:pPr>
              <w:tabs>
                <w:tab w:val="left" w:pos="425"/>
              </w:tabs>
              <w:adjustRightInd w:val="0"/>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*报价方式</w:t>
            </w:r>
          </w:p>
        </w:tc>
        <w:tc>
          <w:tcPr>
            <w:tcW w:w="990" w:type="dxa"/>
            <w:vAlign w:val="center"/>
          </w:tcPr>
          <w:p>
            <w:pPr>
              <w:tabs>
                <w:tab w:val="left" w:pos="425"/>
              </w:tabs>
              <w:adjustRightInd w:val="0"/>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11.1</w:t>
            </w:r>
          </w:p>
        </w:tc>
        <w:tc>
          <w:tcPr>
            <w:tcW w:w="6968" w:type="dxa"/>
            <w:vAlign w:val="center"/>
          </w:tcPr>
          <w:p>
            <w:pPr>
              <w:snapToGrid w:val="0"/>
              <w:rPr>
                <w:rFonts w:cs="Arial" w:asciiTheme="minorEastAsia" w:hAnsiTheme="minorEastAsia" w:eastAsiaTheme="minorEastAsia"/>
                <w:sz w:val="24"/>
              </w:rPr>
            </w:pPr>
            <w:r>
              <w:rPr>
                <w:rFonts w:cs="Arial" w:asciiTheme="minorEastAsia" w:hAnsiTheme="minorEastAsia" w:eastAsiaTheme="minorEastAsia"/>
                <w:sz w:val="24"/>
              </w:rPr>
              <w:t>报价方式：</w:t>
            </w:r>
            <w:r>
              <w:rPr>
                <w:rFonts w:hint="eastAsia" w:cs="Arial" w:asciiTheme="minorEastAsia" w:hAnsiTheme="minorEastAsia" w:eastAsiaTheme="minorEastAsia"/>
                <w:sz w:val="24"/>
              </w:rPr>
              <w:t>项目含税总价。</w:t>
            </w:r>
          </w:p>
          <w:p>
            <w:pPr>
              <w:snapToGrid w:val="0"/>
              <w:rPr>
                <w:rFonts w:cs="Arial" w:asciiTheme="minorEastAsia" w:hAnsiTheme="minorEastAsia" w:eastAsiaTheme="minorEastAsia"/>
                <w:b/>
                <w:bCs/>
                <w:sz w:val="24"/>
              </w:rPr>
            </w:pPr>
            <w:r>
              <w:rPr>
                <w:rFonts w:hint="eastAsia" w:cs="Arial" w:asciiTheme="minorEastAsia" w:hAnsiTheme="minorEastAsia" w:eastAsiaTheme="minorEastAsia"/>
                <w:b/>
                <w:bCs/>
                <w:sz w:val="24"/>
              </w:rPr>
              <w:t>（</w:t>
            </w:r>
            <w:r>
              <w:rPr>
                <w:rFonts w:cs="Arial" w:asciiTheme="minorEastAsia" w:hAnsiTheme="minorEastAsia" w:eastAsiaTheme="minorEastAsia"/>
                <w:b/>
                <w:bCs/>
                <w:sz w:val="24"/>
              </w:rPr>
              <w:t>*超出预算的投标将作无效投标处理）。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9</w:t>
            </w:r>
          </w:p>
        </w:tc>
        <w:tc>
          <w:tcPr>
            <w:tcW w:w="990" w:type="dxa"/>
            <w:vAlign w:val="center"/>
          </w:tcPr>
          <w:p>
            <w:pPr>
              <w:tabs>
                <w:tab w:val="left" w:pos="425"/>
              </w:tabs>
              <w:adjustRightInd w:val="0"/>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磋商保证金</w:t>
            </w:r>
          </w:p>
        </w:tc>
        <w:tc>
          <w:tcPr>
            <w:tcW w:w="990" w:type="dxa"/>
            <w:vAlign w:val="center"/>
          </w:tcPr>
          <w:p>
            <w:pPr>
              <w:tabs>
                <w:tab w:val="left" w:pos="425"/>
              </w:tabs>
              <w:adjustRightInd w:val="0"/>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12.2</w:t>
            </w:r>
          </w:p>
        </w:tc>
        <w:tc>
          <w:tcPr>
            <w:tcW w:w="6968" w:type="dxa"/>
            <w:vAlign w:val="center"/>
          </w:tcPr>
          <w:p>
            <w:pPr>
              <w:tabs>
                <w:tab w:val="left" w:pos="425"/>
              </w:tabs>
              <w:adjustRightInd w:val="0"/>
              <w:snapToGrid w:val="0"/>
              <w:rPr>
                <w:rFonts w:cs="Arial" w:asciiTheme="minorEastAsia" w:hAnsiTheme="minorEastAsia" w:eastAsiaTheme="minorEastAsia"/>
                <w:sz w:val="24"/>
              </w:rPr>
            </w:pPr>
            <w:r>
              <w:rPr>
                <w:rFonts w:hint="eastAsia" w:cs="Arial" w:asciiTheme="minorEastAsia" w:hAnsiTheme="minorEastAsia" w:eastAsiaTheme="minorEastAsia"/>
                <w:sz w:val="24"/>
              </w:rPr>
              <w:t>磋商</w:t>
            </w:r>
            <w:r>
              <w:rPr>
                <w:rFonts w:cs="Arial" w:asciiTheme="minorEastAsia" w:hAnsiTheme="minorEastAsia" w:eastAsiaTheme="minorEastAsia"/>
                <w:sz w:val="24"/>
              </w:rPr>
              <w:t>保证金金额：</w:t>
            </w:r>
            <w:r>
              <w:rPr>
                <w:rFonts w:hint="eastAsia" w:cs="Arial" w:asciiTheme="minorEastAsia" w:hAnsiTheme="minorEastAsia" w:eastAsiaTheme="minorEastAsia"/>
                <w:sz w:val="24"/>
              </w:rPr>
              <w:t>固定金额</w:t>
            </w:r>
            <w:r>
              <w:rPr>
                <w:rFonts w:cs="Arial" w:asciiTheme="minorEastAsia" w:hAnsiTheme="minorEastAsia" w:eastAsiaTheme="minorEastAsia"/>
                <w:sz w:val="24"/>
              </w:rPr>
              <w:t>2.5</w:t>
            </w:r>
            <w:r>
              <w:rPr>
                <w:rFonts w:hint="eastAsia" w:cs="Arial" w:asciiTheme="minorEastAsia" w:hAnsiTheme="minorEastAsia" w:eastAsiaTheme="minorEastAsia"/>
                <w:sz w:val="24"/>
              </w:rPr>
              <w:t>万</w:t>
            </w:r>
            <w:r>
              <w:rPr>
                <w:rFonts w:cs="Arial" w:asciiTheme="minorEastAsia" w:hAnsiTheme="minorEastAsia" w:eastAsiaTheme="minorEastAsia"/>
                <w:sz w:val="24"/>
              </w:rPr>
              <w:t>元</w:t>
            </w:r>
            <w:r>
              <w:rPr>
                <w:rFonts w:hint="eastAsia" w:cs="Arial" w:asciiTheme="minorEastAsia" w:hAnsiTheme="minorEastAsia" w:eastAsiaTheme="minorEastAsia"/>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10</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响应文件递交截止时间、地点</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14.1</w:t>
            </w:r>
          </w:p>
        </w:tc>
        <w:tc>
          <w:tcPr>
            <w:tcW w:w="6968" w:type="dxa"/>
            <w:vAlign w:val="center"/>
          </w:tcPr>
          <w:p>
            <w:pPr>
              <w:snapToGrid w:val="0"/>
              <w:rPr>
                <w:rFonts w:cs="Arial" w:asciiTheme="minorEastAsia" w:hAnsiTheme="minorEastAsia" w:eastAsiaTheme="minorEastAsia"/>
                <w:sz w:val="24"/>
              </w:rPr>
            </w:pPr>
            <w:r>
              <w:rPr>
                <w:rFonts w:cs="Arial" w:asciiTheme="minorEastAsia" w:hAnsiTheme="minorEastAsia" w:eastAsiaTheme="minorEastAsia"/>
                <w:sz w:val="24"/>
              </w:rPr>
              <w:t>接</w:t>
            </w:r>
            <w:r>
              <w:rPr>
                <w:rFonts w:hint="eastAsia" w:cs="Arial" w:asciiTheme="minorEastAsia" w:hAnsiTheme="minorEastAsia" w:eastAsiaTheme="minorEastAsia"/>
                <w:sz w:val="24"/>
              </w:rPr>
              <w:t>收响应文件</w:t>
            </w:r>
            <w:r>
              <w:rPr>
                <w:rFonts w:cs="Arial" w:asciiTheme="minorEastAsia" w:hAnsiTheme="minorEastAsia" w:eastAsiaTheme="minorEastAsia"/>
                <w:sz w:val="24"/>
              </w:rPr>
              <w:t>截止时间：</w:t>
            </w:r>
            <w:r>
              <w:rPr>
                <w:rFonts w:hint="eastAsia" w:cs="Arial" w:asciiTheme="minorEastAsia" w:hAnsiTheme="minorEastAsia" w:eastAsiaTheme="minorEastAsia"/>
                <w:sz w:val="24"/>
              </w:rPr>
              <w:t>2021年1月XX日</w:t>
            </w:r>
            <w:r>
              <w:rPr>
                <w:rFonts w:cs="Arial" w:asciiTheme="minorEastAsia" w:hAnsiTheme="minorEastAsia" w:eastAsiaTheme="minorEastAsia"/>
                <w:sz w:val="24"/>
              </w:rPr>
              <w:t>13</w:t>
            </w:r>
            <w:r>
              <w:rPr>
                <w:rFonts w:hint="eastAsia" w:cs="Arial" w:asciiTheme="minorEastAsia" w:hAnsiTheme="minorEastAsia" w:eastAsiaTheme="minorEastAsia"/>
                <w:sz w:val="24"/>
              </w:rPr>
              <w:t>时</w:t>
            </w:r>
            <w:r>
              <w:rPr>
                <w:rFonts w:cs="Arial" w:asciiTheme="minorEastAsia" w:hAnsiTheme="minorEastAsia" w:eastAsiaTheme="minorEastAsia"/>
                <w:sz w:val="24"/>
              </w:rPr>
              <w:t>30</w:t>
            </w:r>
            <w:r>
              <w:rPr>
                <w:rFonts w:hint="eastAsia" w:cs="Arial" w:asciiTheme="minorEastAsia" w:hAnsiTheme="minorEastAsia" w:eastAsiaTheme="minorEastAsia"/>
                <w:sz w:val="24"/>
              </w:rPr>
              <w:t>分</w:t>
            </w:r>
          </w:p>
          <w:p>
            <w:pPr>
              <w:snapToGrid w:val="0"/>
              <w:rPr>
                <w:rFonts w:cs="Arial" w:asciiTheme="minorEastAsia" w:hAnsiTheme="minorEastAsia" w:eastAsiaTheme="minorEastAsia"/>
                <w:sz w:val="24"/>
              </w:rPr>
            </w:pPr>
            <w:r>
              <w:rPr>
                <w:rFonts w:cs="Arial" w:asciiTheme="minorEastAsia" w:hAnsiTheme="minorEastAsia" w:eastAsiaTheme="minorEastAsia"/>
                <w:sz w:val="24"/>
              </w:rPr>
              <w:t>接</w:t>
            </w:r>
            <w:r>
              <w:rPr>
                <w:rFonts w:hint="eastAsia" w:cs="Arial" w:asciiTheme="minorEastAsia" w:hAnsiTheme="minorEastAsia" w:eastAsiaTheme="minorEastAsia"/>
                <w:sz w:val="24"/>
              </w:rPr>
              <w:t>收响应文件</w:t>
            </w:r>
            <w:r>
              <w:rPr>
                <w:rFonts w:cs="Arial" w:asciiTheme="minorEastAsia" w:hAnsiTheme="minorEastAsia" w:eastAsiaTheme="minorEastAsia"/>
                <w:sz w:val="24"/>
              </w:rPr>
              <w:t>地点：北京市朝阳区新源南路六号京城大厦主楼4层408会议室。</w:t>
            </w:r>
          </w:p>
          <w:p>
            <w:pPr>
              <w:snapToGrid w:val="0"/>
              <w:rPr>
                <w:rFonts w:cs="Arial" w:asciiTheme="minorEastAsia" w:hAnsiTheme="minorEastAsia" w:eastAsiaTheme="minorEastAsia"/>
                <w:sz w:val="24"/>
              </w:rPr>
            </w:pPr>
            <w:r>
              <w:rPr>
                <w:rFonts w:cs="Arial" w:asciiTheme="minorEastAsia" w:hAnsiTheme="minorEastAsia" w:eastAsiaTheme="minorEastAsia"/>
                <w:sz w:val="24"/>
              </w:rPr>
              <w:t>联系人：</w:t>
            </w:r>
            <w:r>
              <w:rPr>
                <w:rFonts w:hint="eastAsia" w:cs="Arial" w:asciiTheme="minorEastAsia" w:hAnsiTheme="minorEastAsia" w:eastAsiaTheme="minorEastAsia"/>
                <w:sz w:val="24"/>
              </w:rPr>
              <w:t>李金、高子淳</w:t>
            </w:r>
          </w:p>
          <w:p>
            <w:pPr>
              <w:snapToGrid w:val="0"/>
              <w:rPr>
                <w:rFonts w:cs="Arial" w:asciiTheme="minorEastAsia" w:hAnsiTheme="minorEastAsia" w:eastAsiaTheme="minorEastAsia"/>
                <w:sz w:val="24"/>
              </w:rPr>
            </w:pPr>
            <w:r>
              <w:rPr>
                <w:rFonts w:cs="Arial" w:asciiTheme="minorEastAsia" w:hAnsiTheme="minorEastAsia" w:eastAsiaTheme="minorEastAsia"/>
                <w:sz w:val="24"/>
              </w:rPr>
              <w:t>电话：010-84865055-193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11</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磋商时间、地点</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15.2</w:t>
            </w:r>
          </w:p>
        </w:tc>
        <w:tc>
          <w:tcPr>
            <w:tcW w:w="6968" w:type="dxa"/>
            <w:vAlign w:val="center"/>
          </w:tcPr>
          <w:p>
            <w:pPr>
              <w:snapToGrid w:val="0"/>
              <w:rPr>
                <w:rFonts w:cs="Arial" w:asciiTheme="minorEastAsia" w:hAnsiTheme="minorEastAsia" w:eastAsiaTheme="minorEastAsia"/>
                <w:sz w:val="24"/>
              </w:rPr>
            </w:pPr>
            <w:r>
              <w:rPr>
                <w:rFonts w:hint="eastAsia" w:cs="Arial" w:asciiTheme="minorEastAsia" w:hAnsiTheme="minorEastAsia" w:eastAsiaTheme="minorEastAsia"/>
                <w:sz w:val="24"/>
              </w:rPr>
              <w:t>磋商</w:t>
            </w:r>
            <w:r>
              <w:rPr>
                <w:rFonts w:cs="Arial" w:asciiTheme="minorEastAsia" w:hAnsiTheme="minorEastAsia" w:eastAsiaTheme="minorEastAsia"/>
                <w:sz w:val="24"/>
              </w:rPr>
              <w:t>时间：</w:t>
            </w:r>
            <w:r>
              <w:rPr>
                <w:rFonts w:hint="eastAsia" w:cs="Arial" w:asciiTheme="minorEastAsia" w:hAnsiTheme="minorEastAsia" w:eastAsiaTheme="minorEastAsia"/>
                <w:sz w:val="24"/>
              </w:rPr>
              <w:t>2021年1月XX日1</w:t>
            </w:r>
            <w:r>
              <w:rPr>
                <w:rFonts w:cs="Arial" w:asciiTheme="minorEastAsia" w:hAnsiTheme="minorEastAsia" w:eastAsiaTheme="minorEastAsia"/>
                <w:sz w:val="24"/>
              </w:rPr>
              <w:t>3</w:t>
            </w:r>
            <w:r>
              <w:rPr>
                <w:rFonts w:hint="eastAsia" w:cs="Arial" w:asciiTheme="minorEastAsia" w:hAnsiTheme="minorEastAsia" w:eastAsiaTheme="minorEastAsia"/>
                <w:sz w:val="24"/>
              </w:rPr>
              <w:t>时</w:t>
            </w:r>
            <w:r>
              <w:rPr>
                <w:rFonts w:cs="Arial" w:asciiTheme="minorEastAsia" w:hAnsiTheme="minorEastAsia" w:eastAsiaTheme="minorEastAsia"/>
                <w:sz w:val="24"/>
              </w:rPr>
              <w:t>3</w:t>
            </w:r>
            <w:r>
              <w:rPr>
                <w:rFonts w:hint="eastAsia" w:cs="Arial" w:asciiTheme="minorEastAsia" w:hAnsiTheme="minorEastAsia" w:eastAsiaTheme="minorEastAsia"/>
                <w:sz w:val="24"/>
              </w:rPr>
              <w:t>0分</w:t>
            </w:r>
          </w:p>
          <w:p>
            <w:pPr>
              <w:snapToGrid w:val="0"/>
              <w:rPr>
                <w:rFonts w:cs="Arial" w:asciiTheme="minorEastAsia" w:hAnsiTheme="minorEastAsia" w:eastAsiaTheme="minorEastAsia"/>
                <w:sz w:val="24"/>
              </w:rPr>
            </w:pPr>
            <w:r>
              <w:rPr>
                <w:rFonts w:hint="eastAsia" w:cs="Arial" w:asciiTheme="minorEastAsia" w:hAnsiTheme="minorEastAsia" w:eastAsiaTheme="minorEastAsia"/>
                <w:sz w:val="24"/>
              </w:rPr>
              <w:t>磋商</w:t>
            </w:r>
            <w:r>
              <w:rPr>
                <w:rFonts w:cs="Arial" w:asciiTheme="minorEastAsia" w:hAnsiTheme="minorEastAsia" w:eastAsiaTheme="minorEastAsia"/>
                <w:sz w:val="24"/>
              </w:rPr>
              <w:t>地点：北京市朝阳区新源南路六号京城大厦主楼4层408会议室。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12</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代理服务费</w:t>
            </w:r>
          </w:p>
        </w:tc>
        <w:tc>
          <w:tcPr>
            <w:tcW w:w="990"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24.1</w:t>
            </w:r>
          </w:p>
        </w:tc>
        <w:tc>
          <w:tcPr>
            <w:tcW w:w="6968" w:type="dxa"/>
            <w:vAlign w:val="center"/>
          </w:tcPr>
          <w:p>
            <w:pPr>
              <w:snapToGrid w:val="0"/>
              <w:rPr>
                <w:rFonts w:cs="Arial" w:asciiTheme="minorEastAsia" w:hAnsiTheme="minorEastAsia" w:eastAsiaTheme="minorEastAsia"/>
                <w:sz w:val="24"/>
              </w:rPr>
            </w:pPr>
            <w:r>
              <w:rPr>
                <w:rFonts w:hint="eastAsia" w:cs="Arial" w:asciiTheme="minorEastAsia" w:hAnsiTheme="minorEastAsia" w:eastAsiaTheme="minorEastAsia"/>
                <w:sz w:val="24"/>
              </w:rPr>
              <w:t>成交供应商在领取成交通知书的同时，以成交金额为基数，按照 计价格[2002]1980 号、发改办价格[2003]857 号文件规定的服务费标准向采购代理机构缴纳代理服务费。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82" w:type="dxa"/>
            <w:vAlign w:val="center"/>
          </w:tcPr>
          <w:p>
            <w:pPr>
              <w:snapToGrid w:val="0"/>
              <w:jc w:val="center"/>
              <w:rPr>
                <w:rFonts w:cs="Arial" w:asciiTheme="minorEastAsia" w:hAnsiTheme="minorEastAsia" w:eastAsiaTheme="minorEastAsia"/>
                <w:sz w:val="24"/>
              </w:rPr>
            </w:pPr>
            <w:r>
              <w:rPr>
                <w:rFonts w:hint="eastAsia" w:cs="Arial" w:asciiTheme="minorEastAsia" w:hAnsiTheme="minorEastAsia" w:eastAsiaTheme="minorEastAsia"/>
                <w:sz w:val="24"/>
              </w:rPr>
              <w:t>1</w:t>
            </w:r>
            <w:r>
              <w:rPr>
                <w:rFonts w:cs="Arial" w:asciiTheme="minorEastAsia" w:hAnsiTheme="minorEastAsia" w:eastAsiaTheme="minorEastAsia"/>
                <w:sz w:val="24"/>
              </w:rPr>
              <w:t>3</w:t>
            </w:r>
          </w:p>
        </w:tc>
        <w:tc>
          <w:tcPr>
            <w:tcW w:w="990" w:type="dxa"/>
            <w:vAlign w:val="center"/>
          </w:tcPr>
          <w:p>
            <w:pPr>
              <w:snapToGrid w:val="0"/>
              <w:jc w:val="center"/>
              <w:rPr>
                <w:rFonts w:cs="Arial" w:asciiTheme="minorEastAsia" w:hAnsiTheme="minorEastAsia" w:eastAsiaTheme="minorEastAsia"/>
                <w:sz w:val="24"/>
              </w:rPr>
            </w:pPr>
            <w:r>
              <w:rPr>
                <w:rFonts w:cs="Arial" w:asciiTheme="minorEastAsia" w:hAnsiTheme="minorEastAsia" w:eastAsiaTheme="minorEastAsia"/>
                <w:sz w:val="24"/>
              </w:rPr>
              <w:t>履约保证金</w:t>
            </w:r>
          </w:p>
        </w:tc>
        <w:tc>
          <w:tcPr>
            <w:tcW w:w="990" w:type="dxa"/>
            <w:vAlign w:val="center"/>
          </w:tcPr>
          <w:p>
            <w:pPr>
              <w:snapToGrid w:val="0"/>
              <w:jc w:val="center"/>
              <w:rPr>
                <w:rFonts w:cs="Arial" w:asciiTheme="minorEastAsia" w:hAnsiTheme="minorEastAsia" w:eastAsiaTheme="minorEastAsia"/>
                <w:sz w:val="24"/>
              </w:rPr>
            </w:pPr>
            <w:r>
              <w:rPr>
                <w:rFonts w:cs="Arial" w:asciiTheme="minorEastAsia" w:hAnsiTheme="minorEastAsia" w:eastAsiaTheme="minorEastAsia"/>
                <w:sz w:val="24"/>
              </w:rPr>
              <w:t>25.1</w:t>
            </w:r>
          </w:p>
        </w:tc>
        <w:tc>
          <w:tcPr>
            <w:tcW w:w="6968" w:type="dxa"/>
            <w:vAlign w:val="center"/>
          </w:tcPr>
          <w:p>
            <w:pPr>
              <w:snapToGrid w:val="0"/>
              <w:rPr>
                <w:rFonts w:cs="Arial" w:asciiTheme="minorEastAsia" w:hAnsiTheme="minorEastAsia" w:eastAsiaTheme="minorEastAsia"/>
                <w:sz w:val="24"/>
              </w:rPr>
            </w:pPr>
            <w:r>
              <w:rPr>
                <w:rFonts w:cs="Arial" w:asciiTheme="minorEastAsia" w:hAnsiTheme="minorEastAsia" w:eastAsiaTheme="minorEastAsia"/>
                <w:sz w:val="24"/>
              </w:rPr>
              <w:t>履约保证金：不适用。</w:t>
            </w:r>
          </w:p>
        </w:tc>
      </w:tr>
    </w:tbl>
    <w:p>
      <w:pPr>
        <w:adjustRightInd w:val="0"/>
        <w:snapToGrid w:val="0"/>
        <w:spacing w:line="360" w:lineRule="auto"/>
        <w:rPr>
          <w:rFonts w:ascii="Arial" w:hAnsi="Arial" w:cs="Arial"/>
          <w:sz w:val="24"/>
        </w:rPr>
      </w:pPr>
      <w:r>
        <w:rPr>
          <w:rFonts w:ascii="Arial" w:hAnsi="Arial" w:cs="Arial"/>
          <w:sz w:val="24"/>
        </w:rPr>
        <w:t>注：本表加注“*”的内容若不满足要求，将导致投标无效且不允许在磋商后补正。</w:t>
      </w:r>
    </w:p>
    <w:bookmarkEnd w:id="110"/>
    <w:p>
      <w:pPr>
        <w:adjustRightInd w:val="0"/>
        <w:snapToGrid w:val="0"/>
        <w:spacing w:after="120" w:afterLines="50" w:line="360" w:lineRule="auto"/>
        <w:jc w:val="center"/>
        <w:rPr>
          <w:rFonts w:ascii="Arial" w:hAnsi="Arial" w:eastAsia="黑体" w:cs="Arial"/>
          <w:sz w:val="30"/>
          <w:szCs w:val="30"/>
        </w:rPr>
      </w:pPr>
      <w:bookmarkStart w:id="112" w:name="_Toc50985440"/>
      <w:bookmarkStart w:id="113" w:name="_Toc50985572"/>
      <w:bookmarkStart w:id="114" w:name="_Toc50985645"/>
      <w:bookmarkStart w:id="115" w:name="_Toc52175440"/>
      <w:bookmarkStart w:id="116" w:name="_Toc70081215"/>
      <w:bookmarkStart w:id="117" w:name="_Toc67131237"/>
      <w:bookmarkStart w:id="118" w:name="_Toc50985704"/>
      <w:bookmarkStart w:id="119" w:name="_Toc80582195"/>
      <w:bookmarkStart w:id="120" w:name="_Toc82246245"/>
      <w:bookmarkStart w:id="121" w:name="_Toc82328630"/>
      <w:bookmarkStart w:id="122" w:name="_Toc82246189"/>
      <w:bookmarkStart w:id="123" w:name="_Toc82485138"/>
      <w:bookmarkStart w:id="124" w:name="_Toc82502357"/>
      <w:bookmarkStart w:id="125" w:name="_Toc83809628"/>
      <w:bookmarkStart w:id="126" w:name="_Toc83810504"/>
      <w:bookmarkStart w:id="127" w:name="_Toc83810775"/>
      <w:bookmarkStart w:id="128" w:name="_Toc83809752"/>
      <w:bookmarkStart w:id="129" w:name="_Toc163975182"/>
      <w:bookmarkStart w:id="130" w:name="_Toc163975521"/>
      <w:bookmarkStart w:id="131" w:name="_Toc167105207"/>
      <w:bookmarkStart w:id="132" w:name="_Toc163975684"/>
      <w:bookmarkStart w:id="133" w:name="_Toc163975827"/>
      <w:bookmarkStart w:id="134" w:name="_Toc163976129"/>
      <w:bookmarkStart w:id="135" w:name="_Toc184437954"/>
      <w:bookmarkStart w:id="136" w:name="_Toc185151082"/>
      <w:bookmarkStart w:id="137" w:name="_Toc185326861"/>
      <w:bookmarkStart w:id="138" w:name="_Toc163975946"/>
      <w:r>
        <w:rPr>
          <w:rFonts w:ascii="Arial" w:hAnsi="Arial" w:eastAsia="黑体" w:cs="Arial"/>
          <w:bCs/>
          <w:sz w:val="30"/>
          <w:szCs w:val="30"/>
        </w:rPr>
        <w:br w:type="page"/>
      </w:r>
      <w:bookmarkEnd w:id="111"/>
      <w:bookmarkStart w:id="139" w:name="_Hlk27729982"/>
      <w:r>
        <w:rPr>
          <w:rFonts w:ascii="Arial" w:hAnsi="Arial" w:eastAsia="黑体" w:cs="Arial"/>
          <w:bCs/>
          <w:sz w:val="30"/>
          <w:szCs w:val="30"/>
        </w:rPr>
        <w:t>供应商须知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snapToGrid w:val="0"/>
        <w:spacing w:line="360" w:lineRule="auto"/>
        <w:outlineLvl w:val="0"/>
        <w:rPr>
          <w:rFonts w:ascii="Arial" w:hAnsi="Arial" w:eastAsia="黑体"/>
          <w:sz w:val="24"/>
          <w:szCs w:val="20"/>
        </w:rPr>
      </w:pPr>
      <w:bookmarkStart w:id="140" w:name="_Toc5957166"/>
      <w:bookmarkStart w:id="141" w:name="_Toc48061810"/>
      <w:bookmarkStart w:id="142" w:name="_Toc389142109"/>
      <w:bookmarkStart w:id="143" w:name="_Toc27475555"/>
      <w:bookmarkStart w:id="144" w:name="_Toc57032378"/>
      <w:bookmarkStart w:id="145" w:name="_Toc92357008"/>
      <w:bookmarkStart w:id="146" w:name="_Toc92965925"/>
      <w:bookmarkStart w:id="147" w:name="_Toc238962552"/>
      <w:bookmarkStart w:id="148" w:name="_Toc239591176"/>
      <w:bookmarkStart w:id="149" w:name="_Toc288679129"/>
      <w:bookmarkStart w:id="150" w:name="_Toc362366052"/>
      <w:bookmarkStart w:id="151" w:name="_Toc481468345"/>
      <w:r>
        <w:rPr>
          <w:rFonts w:ascii="Arial" w:hAnsi="Arial" w:eastAsia="黑体"/>
          <w:sz w:val="24"/>
          <w:szCs w:val="20"/>
        </w:rPr>
        <w:t>一、说明</w:t>
      </w:r>
      <w:bookmarkEnd w:id="140"/>
      <w:bookmarkEnd w:id="141"/>
      <w:bookmarkEnd w:id="142"/>
      <w:bookmarkEnd w:id="143"/>
      <w:bookmarkEnd w:id="144"/>
      <w:bookmarkEnd w:id="145"/>
      <w:bookmarkEnd w:id="146"/>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概述</w:t>
      </w:r>
    </w:p>
    <w:p>
      <w:pPr>
        <w:numPr>
          <w:ilvl w:val="1"/>
          <w:numId w:val="15"/>
        </w:numPr>
        <w:snapToGrid w:val="0"/>
        <w:spacing w:line="360" w:lineRule="auto"/>
        <w:rPr>
          <w:rFonts w:ascii="Arial" w:hAnsi="Arial"/>
          <w:sz w:val="24"/>
          <w:szCs w:val="20"/>
        </w:rPr>
      </w:pPr>
      <w:r>
        <w:rPr>
          <w:rFonts w:ascii="Arial" w:hAnsi="Arial" w:cs="Arial"/>
          <w:sz w:val="24"/>
          <w:szCs w:val="20"/>
        </w:rPr>
        <w:t>项目概述见</w:t>
      </w:r>
      <w:r>
        <w:rPr>
          <w:rFonts w:hint="eastAsia" w:ascii="Arial" w:hAnsi="Arial" w:eastAsia="黑体" w:cs="Arial"/>
          <w:sz w:val="24"/>
          <w:szCs w:val="20"/>
        </w:rPr>
        <w:t>磋商</w:t>
      </w:r>
      <w:r>
        <w:rPr>
          <w:rFonts w:ascii="Arial" w:hAnsi="Arial" w:eastAsia="黑体" w:cs="Arial"/>
          <w:sz w:val="24"/>
          <w:szCs w:val="20"/>
        </w:rPr>
        <w:t>资料表</w:t>
      </w:r>
      <w:r>
        <w:rPr>
          <w:rFonts w:ascii="Arial" w:hAnsi="Arial" w:eastAsia="黑体" w:cs="Arial"/>
          <w:sz w:val="24"/>
          <w:szCs w:val="20"/>
          <w:u w:val="single"/>
        </w:rPr>
        <w:t>第</w:t>
      </w:r>
      <w:r>
        <w:rPr>
          <w:rFonts w:hint="eastAsia" w:ascii="Arial" w:hAnsi="Arial" w:eastAsia="黑体" w:cs="Arial"/>
          <w:sz w:val="24"/>
          <w:szCs w:val="20"/>
          <w:u w:val="single"/>
        </w:rPr>
        <w:t>1条</w:t>
      </w:r>
      <w:r>
        <w:rPr>
          <w:rFonts w:ascii="Arial" w:hAnsi="Arial" w:cs="Arial"/>
          <w:sz w:val="24"/>
          <w:szCs w:val="20"/>
        </w:rPr>
        <w:t>。</w:t>
      </w:r>
    </w:p>
    <w:p>
      <w:pPr>
        <w:numPr>
          <w:ilvl w:val="0"/>
          <w:numId w:val="14"/>
        </w:numPr>
        <w:snapToGrid w:val="0"/>
        <w:spacing w:line="360" w:lineRule="auto"/>
        <w:rPr>
          <w:rFonts w:ascii="Arial" w:hAnsi="Arial" w:eastAsia="黑体"/>
          <w:sz w:val="24"/>
          <w:szCs w:val="20"/>
        </w:rPr>
      </w:pPr>
      <w:bookmarkStart w:id="152" w:name="_Toc85430423"/>
      <w:bookmarkStart w:id="153" w:name="_Toc83547642"/>
      <w:r>
        <w:rPr>
          <w:rFonts w:ascii="Arial" w:hAnsi="Arial" w:eastAsia="黑体"/>
          <w:sz w:val="24"/>
          <w:szCs w:val="20"/>
        </w:rPr>
        <w:t>合格的供应商</w:t>
      </w:r>
      <w:bookmarkEnd w:id="152"/>
      <w:bookmarkEnd w:id="153"/>
    </w:p>
    <w:p>
      <w:pPr>
        <w:numPr>
          <w:ilvl w:val="1"/>
          <w:numId w:val="16"/>
        </w:numPr>
        <w:snapToGrid w:val="0"/>
        <w:spacing w:line="360" w:lineRule="auto"/>
        <w:rPr>
          <w:rFonts w:ascii="Arial" w:hAnsi="Arial"/>
          <w:sz w:val="24"/>
          <w:szCs w:val="20"/>
        </w:rPr>
      </w:pPr>
      <w:r>
        <w:rPr>
          <w:rFonts w:hint="eastAsia" w:ascii="Arial" w:hAnsi="Arial"/>
          <w:sz w:val="24"/>
          <w:szCs w:val="20"/>
        </w:rPr>
        <w:t>供应商应遵守</w:t>
      </w:r>
      <w:r>
        <w:rPr>
          <w:rFonts w:hint="eastAsia" w:ascii="Arial" w:hAnsi="Arial" w:cs="Arial"/>
          <w:sz w:val="24"/>
          <w:szCs w:val="20"/>
        </w:rPr>
        <w:t>有关的国家法律、法规和条例，具备《中华人民共和国政府采购法》和本文件中规定的条件：</w:t>
      </w:r>
    </w:p>
    <w:p>
      <w:pPr>
        <w:numPr>
          <w:ilvl w:val="5"/>
          <w:numId w:val="17"/>
        </w:numPr>
        <w:snapToGrid w:val="0"/>
        <w:spacing w:line="360" w:lineRule="auto"/>
        <w:ind w:left="1276" w:hanging="709"/>
        <w:rPr>
          <w:rFonts w:ascii="宋体" w:hAnsi="宋体"/>
          <w:sz w:val="24"/>
        </w:rPr>
      </w:pPr>
      <w:r>
        <w:rPr>
          <w:rFonts w:hint="eastAsia" w:ascii="宋体" w:hAnsi="宋体"/>
          <w:sz w:val="24"/>
        </w:rPr>
        <w:t>具有独立承担民事责任的能力；</w:t>
      </w:r>
    </w:p>
    <w:p>
      <w:pPr>
        <w:numPr>
          <w:ilvl w:val="5"/>
          <w:numId w:val="17"/>
        </w:numPr>
        <w:snapToGrid w:val="0"/>
        <w:spacing w:line="360" w:lineRule="auto"/>
        <w:ind w:left="1276" w:hanging="709"/>
        <w:rPr>
          <w:rFonts w:ascii="宋体" w:hAnsi="宋体"/>
          <w:sz w:val="24"/>
        </w:rPr>
      </w:pPr>
      <w:r>
        <w:rPr>
          <w:rFonts w:hint="eastAsia" w:ascii="宋体" w:hAnsi="宋体"/>
          <w:sz w:val="24"/>
        </w:rPr>
        <w:t>具有良好的商业信誉和健全的财务会计制度；</w:t>
      </w:r>
    </w:p>
    <w:p>
      <w:pPr>
        <w:numPr>
          <w:ilvl w:val="5"/>
          <w:numId w:val="17"/>
        </w:numPr>
        <w:snapToGrid w:val="0"/>
        <w:spacing w:line="360" w:lineRule="auto"/>
        <w:ind w:left="1276" w:hanging="709"/>
        <w:rPr>
          <w:rFonts w:ascii="宋体" w:hAnsi="宋体"/>
          <w:sz w:val="24"/>
        </w:rPr>
      </w:pPr>
      <w:r>
        <w:rPr>
          <w:rFonts w:hint="eastAsia" w:ascii="宋体" w:hAnsi="宋体"/>
          <w:sz w:val="24"/>
        </w:rPr>
        <w:t>具有履行合同所必须的设备和专业技术能力；</w:t>
      </w:r>
    </w:p>
    <w:p>
      <w:pPr>
        <w:numPr>
          <w:ilvl w:val="5"/>
          <w:numId w:val="17"/>
        </w:numPr>
        <w:snapToGrid w:val="0"/>
        <w:spacing w:line="360" w:lineRule="auto"/>
        <w:ind w:left="1276" w:hanging="709"/>
        <w:rPr>
          <w:rFonts w:ascii="宋体" w:hAnsi="宋体"/>
          <w:sz w:val="24"/>
        </w:rPr>
      </w:pPr>
      <w:r>
        <w:rPr>
          <w:rFonts w:hint="eastAsia" w:ascii="宋体" w:hAnsi="宋体"/>
          <w:sz w:val="24"/>
        </w:rPr>
        <w:t>有依法缴纳税收和社会保障资金的良好记录；</w:t>
      </w:r>
    </w:p>
    <w:p>
      <w:pPr>
        <w:numPr>
          <w:ilvl w:val="5"/>
          <w:numId w:val="17"/>
        </w:numPr>
        <w:snapToGrid w:val="0"/>
        <w:spacing w:line="360" w:lineRule="auto"/>
        <w:ind w:left="1276" w:hanging="709"/>
        <w:rPr>
          <w:rFonts w:ascii="宋体" w:hAnsi="宋体"/>
          <w:sz w:val="24"/>
        </w:rPr>
      </w:pPr>
      <w:r>
        <w:rPr>
          <w:rFonts w:hint="eastAsia" w:ascii="宋体" w:hAnsi="宋体"/>
          <w:sz w:val="24"/>
        </w:rPr>
        <w:t>参加此竞争性磋商活动前三年内，在经营活动中没有重大违法记录；</w:t>
      </w:r>
    </w:p>
    <w:p>
      <w:pPr>
        <w:numPr>
          <w:ilvl w:val="5"/>
          <w:numId w:val="17"/>
        </w:numPr>
        <w:snapToGrid w:val="0"/>
        <w:spacing w:line="360" w:lineRule="auto"/>
        <w:ind w:left="1276" w:hanging="709"/>
        <w:rPr>
          <w:rFonts w:ascii="宋体" w:hAnsi="宋体"/>
          <w:sz w:val="24"/>
        </w:rPr>
      </w:pPr>
      <w:r>
        <w:rPr>
          <w:rFonts w:hint="eastAsia" w:ascii="宋体" w:hAnsi="宋体"/>
          <w:sz w:val="24"/>
        </w:rPr>
        <w:t>符合</w:t>
      </w:r>
      <w:r>
        <w:rPr>
          <w:rFonts w:hint="eastAsia" w:ascii="黑体" w:hAnsi="宋体" w:eastAsia="黑体"/>
          <w:sz w:val="24"/>
        </w:rPr>
        <w:t>磋商资料表</w:t>
      </w:r>
      <w:r>
        <w:rPr>
          <w:rFonts w:hint="eastAsia" w:ascii="黑体" w:hAnsi="宋体" w:eastAsia="黑体"/>
          <w:sz w:val="24"/>
          <w:u w:val="single"/>
        </w:rPr>
        <w:t>第2条</w:t>
      </w:r>
      <w:r>
        <w:rPr>
          <w:rFonts w:hint="eastAsia" w:ascii="宋体" w:hAnsi="宋体"/>
          <w:sz w:val="24"/>
        </w:rPr>
        <w:t>规定的资格条件。</w:t>
      </w:r>
    </w:p>
    <w:p>
      <w:pPr>
        <w:numPr>
          <w:ilvl w:val="1"/>
          <w:numId w:val="16"/>
        </w:numPr>
        <w:snapToGrid w:val="0"/>
        <w:spacing w:line="360" w:lineRule="auto"/>
        <w:rPr>
          <w:rFonts w:ascii="宋体" w:hAnsi="宋体"/>
          <w:sz w:val="24"/>
          <w:szCs w:val="20"/>
        </w:rPr>
      </w:pPr>
      <w:r>
        <w:rPr>
          <w:rFonts w:hint="eastAsia" w:ascii="Arial" w:hAnsi="Arial" w:cs="Arial"/>
          <w:sz w:val="24"/>
          <w:szCs w:val="20"/>
        </w:rPr>
        <w:t>本次采购对联合体的要求见</w:t>
      </w:r>
      <w:r>
        <w:rPr>
          <w:rFonts w:hint="eastAsia" w:ascii="黑体" w:hAnsi="宋体" w:eastAsia="黑体"/>
          <w:sz w:val="24"/>
          <w:szCs w:val="20"/>
        </w:rPr>
        <w:t>磋商资料表</w:t>
      </w:r>
      <w:r>
        <w:rPr>
          <w:rFonts w:hint="eastAsia" w:ascii="黑体" w:hAnsi="宋体" w:eastAsia="黑体"/>
          <w:sz w:val="24"/>
          <w:szCs w:val="20"/>
          <w:u w:val="single"/>
        </w:rPr>
        <w:t>第3条</w:t>
      </w:r>
      <w:r>
        <w:rPr>
          <w:rFonts w:hint="eastAsia" w:ascii="黑体" w:hAnsi="宋体" w:eastAsia="黑体"/>
          <w:sz w:val="24"/>
          <w:szCs w:val="20"/>
        </w:rPr>
        <w:t>。</w:t>
      </w:r>
    </w:p>
    <w:p>
      <w:pPr>
        <w:numPr>
          <w:ilvl w:val="1"/>
          <w:numId w:val="16"/>
        </w:numPr>
        <w:snapToGrid w:val="0"/>
        <w:spacing w:line="360" w:lineRule="auto"/>
        <w:rPr>
          <w:rFonts w:ascii="宋体" w:hAnsi="宋体"/>
          <w:sz w:val="24"/>
          <w:szCs w:val="20"/>
        </w:rPr>
      </w:pPr>
      <w:r>
        <w:rPr>
          <w:rFonts w:hint="eastAsia" w:ascii="Arial" w:hAnsi="Arial" w:cs="Arial"/>
          <w:sz w:val="24"/>
          <w:szCs w:val="20"/>
        </w:rPr>
        <w:t>供应商应从中信国际招标有限公司购买磋商文件并登记备案。</w:t>
      </w:r>
    </w:p>
    <w:p>
      <w:pPr>
        <w:numPr>
          <w:ilvl w:val="0"/>
          <w:numId w:val="14"/>
        </w:numPr>
        <w:snapToGrid w:val="0"/>
        <w:spacing w:line="360" w:lineRule="auto"/>
        <w:rPr>
          <w:rFonts w:ascii="Arial" w:hAnsi="Arial" w:eastAsia="黑体"/>
          <w:sz w:val="24"/>
          <w:szCs w:val="20"/>
        </w:rPr>
      </w:pPr>
      <w:bookmarkStart w:id="154" w:name="_Toc83547643"/>
      <w:bookmarkStart w:id="155" w:name="_Toc85430424"/>
      <w:bookmarkStart w:id="156" w:name="_Hlt89653321"/>
      <w:r>
        <w:rPr>
          <w:rFonts w:hint="eastAsia" w:ascii="Arial" w:hAnsi="Arial" w:eastAsia="黑体"/>
          <w:sz w:val="24"/>
          <w:szCs w:val="20"/>
        </w:rPr>
        <w:t>磋商费用</w:t>
      </w:r>
    </w:p>
    <w:p>
      <w:pPr>
        <w:numPr>
          <w:ilvl w:val="0"/>
          <w:numId w:val="18"/>
        </w:numPr>
        <w:snapToGrid w:val="0"/>
        <w:spacing w:line="360" w:lineRule="auto"/>
        <w:rPr>
          <w:rFonts w:ascii="Arial" w:hAnsi="Arial" w:eastAsia="黑体"/>
          <w:sz w:val="24"/>
          <w:szCs w:val="20"/>
        </w:rPr>
      </w:pPr>
      <w:r>
        <w:rPr>
          <w:rFonts w:hint="eastAsia" w:ascii="Arial" w:hAnsi="Arial" w:cs="Arial"/>
          <w:sz w:val="24"/>
        </w:rPr>
        <w:t>供应商</w:t>
      </w:r>
      <w:r>
        <w:rPr>
          <w:rFonts w:ascii="Arial" w:hAnsi="Arial" w:cs="Arial"/>
          <w:sz w:val="24"/>
        </w:rPr>
        <w:t>应承担所有与编写和提交</w:t>
      </w:r>
      <w:r>
        <w:rPr>
          <w:rFonts w:hint="eastAsia" w:ascii="Arial" w:hAnsi="Arial" w:cs="Arial"/>
          <w:sz w:val="24"/>
        </w:rPr>
        <w:t>响应</w:t>
      </w:r>
      <w:r>
        <w:rPr>
          <w:rFonts w:ascii="Arial" w:hAnsi="Arial" w:cs="Arial"/>
          <w:sz w:val="24"/>
        </w:rPr>
        <w:t>文件有关的费用，不论</w:t>
      </w:r>
      <w:r>
        <w:rPr>
          <w:rFonts w:hint="eastAsia" w:ascii="Arial" w:hAnsi="Arial" w:cs="Arial"/>
          <w:sz w:val="24"/>
        </w:rPr>
        <w:t>磋商</w:t>
      </w:r>
      <w:r>
        <w:rPr>
          <w:rFonts w:ascii="Arial" w:hAnsi="Arial" w:cs="Arial"/>
          <w:sz w:val="24"/>
        </w:rPr>
        <w:t>的结果如何，</w:t>
      </w:r>
      <w:r>
        <w:rPr>
          <w:rFonts w:hint="eastAsia" w:ascii="Arial" w:hAnsi="Arial" w:cs="Arial"/>
          <w:sz w:val="24"/>
        </w:rPr>
        <w:t>采购</w:t>
      </w:r>
      <w:r>
        <w:rPr>
          <w:rFonts w:ascii="Arial" w:hAnsi="Arial" w:cs="Arial"/>
          <w:sz w:val="24"/>
        </w:rPr>
        <w:t>代理机构和</w:t>
      </w:r>
      <w:r>
        <w:rPr>
          <w:rFonts w:hint="eastAsia" w:ascii="Arial" w:hAnsi="Arial" w:cs="Arial"/>
          <w:sz w:val="24"/>
        </w:rPr>
        <w:t>采购</w:t>
      </w:r>
      <w:r>
        <w:rPr>
          <w:rFonts w:ascii="Arial" w:hAnsi="Arial" w:cs="Arial"/>
          <w:sz w:val="24"/>
        </w:rPr>
        <w:t>人在任何情况下均无义务和责任承担这些费用。</w:t>
      </w:r>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通知</w:t>
      </w:r>
    </w:p>
    <w:p>
      <w:pPr>
        <w:numPr>
          <w:ilvl w:val="0"/>
          <w:numId w:val="19"/>
        </w:numPr>
        <w:snapToGrid w:val="0"/>
        <w:spacing w:line="360" w:lineRule="auto"/>
        <w:rPr>
          <w:rFonts w:ascii="Arial" w:hAnsi="Arial" w:eastAsia="黑体"/>
          <w:sz w:val="24"/>
          <w:szCs w:val="20"/>
        </w:rPr>
      </w:pPr>
      <w:r>
        <w:rPr>
          <w:rFonts w:hint="eastAsia" w:ascii="Arial" w:hAnsi="Arial" w:cs="Arial"/>
          <w:sz w:val="24"/>
        </w:rPr>
        <w:t>对与本项目有关的通知，采购代理机构将以书面（包括书面材料、信函、传真等，下同）形式或在本次采购公告刊登的媒体上发布公告的形式，向潜在供应商发出，传真和手机号码以潜在供应商购买磋商文件时的登记备案为准。收到通知的供应商应以书面方式立即予以回复确认。因登记有误、传真线路故障或其他任何意外情形，导致所发出的的通知延迟送达或无法到达供应商，除非有适当的证据表明采购代理机构已经明知该项应当通知的事项并未实际有效到达且采购代理机构认为仍有条件和必要及时地再次补发通知而故意拖延或不予补发通知，采购代理机构不因此承担任何责任，有关的采购活动可以继续有效地进行。</w:t>
      </w:r>
    </w:p>
    <w:p>
      <w:pPr>
        <w:numPr>
          <w:ilvl w:val="0"/>
          <w:numId w:val="14"/>
        </w:numPr>
        <w:snapToGrid w:val="0"/>
        <w:spacing w:line="360" w:lineRule="auto"/>
        <w:rPr>
          <w:rFonts w:ascii="Arial" w:hAnsi="Arial" w:eastAsia="黑体"/>
          <w:sz w:val="24"/>
          <w:szCs w:val="20"/>
        </w:rPr>
      </w:pPr>
      <w:r>
        <w:rPr>
          <w:rFonts w:ascii="Arial" w:hAnsi="Arial" w:eastAsia="黑体"/>
          <w:sz w:val="24"/>
          <w:szCs w:val="20"/>
        </w:rPr>
        <w:t>磋商小组</w:t>
      </w:r>
      <w:bookmarkEnd w:id="154"/>
      <w:bookmarkEnd w:id="155"/>
      <w:bookmarkStart w:id="157" w:name="_Hlt89653320"/>
      <w:bookmarkEnd w:id="157"/>
    </w:p>
    <w:bookmarkEnd w:id="156"/>
    <w:p>
      <w:pPr>
        <w:numPr>
          <w:ilvl w:val="1"/>
          <w:numId w:val="20"/>
        </w:numPr>
        <w:snapToGrid w:val="0"/>
        <w:spacing w:line="360" w:lineRule="auto"/>
        <w:rPr>
          <w:rFonts w:ascii="Arial" w:hAnsi="Arial"/>
          <w:sz w:val="24"/>
          <w:szCs w:val="20"/>
        </w:rPr>
      </w:pPr>
      <w:r>
        <w:rPr>
          <w:rFonts w:ascii="Arial" w:hAnsi="Arial"/>
          <w:sz w:val="24"/>
          <w:szCs w:val="20"/>
        </w:rPr>
        <w:t>磋商小组由采购人代表和</w:t>
      </w:r>
      <w:r>
        <w:rPr>
          <w:rFonts w:hint="eastAsia" w:ascii="Arial" w:hAnsi="Arial"/>
          <w:sz w:val="24"/>
          <w:szCs w:val="20"/>
        </w:rPr>
        <w:t>评审</w:t>
      </w:r>
      <w:r>
        <w:rPr>
          <w:rFonts w:ascii="Arial" w:hAnsi="Arial"/>
          <w:sz w:val="24"/>
          <w:szCs w:val="20"/>
        </w:rPr>
        <w:t>专家组成</w:t>
      </w:r>
      <w:r>
        <w:rPr>
          <w:rFonts w:hint="eastAsia" w:ascii="Arial" w:hAnsi="Arial"/>
          <w:sz w:val="24"/>
          <w:szCs w:val="20"/>
        </w:rPr>
        <w:t>共</w:t>
      </w:r>
      <w:r>
        <w:rPr>
          <w:rFonts w:ascii="Arial" w:hAnsi="Arial"/>
          <w:sz w:val="24"/>
          <w:szCs w:val="20"/>
        </w:rPr>
        <w:t>3人</w:t>
      </w:r>
      <w:r>
        <w:rPr>
          <w:rFonts w:hint="eastAsia" w:ascii="Arial" w:hAnsi="Arial"/>
          <w:sz w:val="24"/>
          <w:szCs w:val="20"/>
        </w:rPr>
        <w:t>（含</w:t>
      </w:r>
      <w:r>
        <w:rPr>
          <w:rFonts w:ascii="Arial" w:hAnsi="Arial"/>
          <w:sz w:val="24"/>
          <w:szCs w:val="20"/>
        </w:rPr>
        <w:t>3</w:t>
      </w:r>
      <w:r>
        <w:rPr>
          <w:rFonts w:hint="eastAsia" w:ascii="Arial" w:hAnsi="Arial"/>
          <w:sz w:val="24"/>
          <w:szCs w:val="20"/>
        </w:rPr>
        <w:t>人）</w:t>
      </w:r>
      <w:r>
        <w:rPr>
          <w:rFonts w:ascii="Arial" w:hAnsi="Arial"/>
          <w:sz w:val="24"/>
          <w:szCs w:val="20"/>
        </w:rPr>
        <w:t>以上单数</w:t>
      </w:r>
      <w:r>
        <w:rPr>
          <w:rFonts w:hint="eastAsia" w:ascii="Arial" w:hAnsi="Arial"/>
          <w:sz w:val="24"/>
          <w:szCs w:val="20"/>
        </w:rPr>
        <w:t>组成，其中评审专家人数不得少于磋商小组成员总数的三分之二</w:t>
      </w:r>
      <w:r>
        <w:rPr>
          <w:rFonts w:ascii="Arial" w:hAnsi="Arial"/>
          <w:sz w:val="24"/>
          <w:szCs w:val="20"/>
        </w:rPr>
        <w:t>。</w:t>
      </w:r>
      <w:r>
        <w:rPr>
          <w:rFonts w:hint="eastAsia" w:ascii="Arial" w:hAnsi="Arial"/>
          <w:sz w:val="24"/>
          <w:szCs w:val="20"/>
        </w:rPr>
        <w:t>采购预算金额在1000万元（含）以上的项目，评标委员会成员人数应当为7人（含）以上单数。</w:t>
      </w:r>
    </w:p>
    <w:p>
      <w:pPr>
        <w:numPr>
          <w:ilvl w:val="1"/>
          <w:numId w:val="20"/>
        </w:numPr>
        <w:spacing w:line="360" w:lineRule="auto"/>
        <w:rPr>
          <w:rFonts w:ascii="Arial" w:hAnsi="Arial"/>
          <w:sz w:val="24"/>
          <w:szCs w:val="20"/>
        </w:rPr>
      </w:pPr>
      <w:r>
        <w:rPr>
          <w:rFonts w:hint="eastAsia" w:ascii="Arial" w:hAnsi="Arial"/>
          <w:sz w:val="24"/>
          <w:szCs w:val="20"/>
        </w:rPr>
        <w:t>招标代理机构按照政府采购法律法规要求，于本项目磋商前一工作日在招标人同级或上一级财政部门设立的政府采购评审专家库中，通过随机方式抽取技术、经济方面的评标专家。</w:t>
      </w:r>
    </w:p>
    <w:p>
      <w:pPr>
        <w:snapToGrid w:val="0"/>
        <w:spacing w:line="360" w:lineRule="auto"/>
        <w:outlineLvl w:val="0"/>
        <w:rPr>
          <w:rFonts w:ascii="Arial" w:hAnsi="Arial" w:eastAsia="黑体"/>
          <w:sz w:val="24"/>
          <w:szCs w:val="20"/>
        </w:rPr>
      </w:pPr>
      <w:bookmarkStart w:id="158" w:name="_Hlt83607780"/>
      <w:bookmarkEnd w:id="158"/>
      <w:bookmarkStart w:id="159" w:name="_Toc85186248"/>
      <w:bookmarkStart w:id="160" w:name="_Toc83547646"/>
      <w:bookmarkStart w:id="161" w:name="_Toc85430427"/>
      <w:bookmarkStart w:id="162" w:name="_Toc85186132"/>
      <w:bookmarkStart w:id="163" w:name="_Toc57032379"/>
      <w:bookmarkStart w:id="164" w:name="_Toc48061811"/>
      <w:bookmarkStart w:id="165" w:name="_Toc27475556"/>
      <w:bookmarkStart w:id="166" w:name="_Toc5957167"/>
      <w:bookmarkStart w:id="167" w:name="_Toc235856988"/>
      <w:bookmarkStart w:id="168" w:name="_Toc389142110"/>
      <w:bookmarkStart w:id="169" w:name="_Toc92357009"/>
      <w:bookmarkStart w:id="170" w:name="_Toc92965926"/>
      <w:r>
        <w:rPr>
          <w:rFonts w:ascii="Arial" w:hAnsi="Arial" w:eastAsia="黑体"/>
          <w:sz w:val="24"/>
          <w:szCs w:val="20"/>
        </w:rPr>
        <w:t>二、</w:t>
      </w:r>
      <w:bookmarkEnd w:id="159"/>
      <w:bookmarkEnd w:id="160"/>
      <w:bookmarkEnd w:id="161"/>
      <w:bookmarkEnd w:id="162"/>
      <w:r>
        <w:rPr>
          <w:rFonts w:ascii="Arial" w:hAnsi="Arial" w:eastAsia="黑体"/>
          <w:sz w:val="24"/>
          <w:szCs w:val="20"/>
        </w:rPr>
        <w:t>磋商文件</w:t>
      </w:r>
      <w:bookmarkEnd w:id="163"/>
      <w:bookmarkEnd w:id="164"/>
      <w:bookmarkEnd w:id="165"/>
      <w:bookmarkEnd w:id="166"/>
      <w:bookmarkEnd w:id="167"/>
      <w:bookmarkEnd w:id="168"/>
      <w:bookmarkEnd w:id="169"/>
      <w:bookmarkEnd w:id="170"/>
    </w:p>
    <w:p>
      <w:pPr>
        <w:numPr>
          <w:ilvl w:val="0"/>
          <w:numId w:val="14"/>
        </w:numPr>
        <w:snapToGrid w:val="0"/>
        <w:spacing w:line="360" w:lineRule="auto"/>
        <w:rPr>
          <w:rFonts w:ascii="Arial" w:hAnsi="Arial" w:eastAsia="黑体"/>
          <w:sz w:val="24"/>
          <w:szCs w:val="20"/>
        </w:rPr>
      </w:pPr>
      <w:bookmarkStart w:id="171" w:name="_Toc83547647"/>
      <w:bookmarkStart w:id="172" w:name="_Toc85430428"/>
      <w:r>
        <w:rPr>
          <w:rFonts w:ascii="Arial" w:hAnsi="Arial" w:eastAsia="黑体"/>
          <w:sz w:val="24"/>
          <w:szCs w:val="20"/>
        </w:rPr>
        <w:t>磋商文件构成</w:t>
      </w:r>
      <w:bookmarkEnd w:id="171"/>
      <w:bookmarkEnd w:id="172"/>
    </w:p>
    <w:p>
      <w:pPr>
        <w:numPr>
          <w:ilvl w:val="1"/>
          <w:numId w:val="21"/>
        </w:numPr>
        <w:snapToGrid w:val="0"/>
        <w:spacing w:line="360" w:lineRule="auto"/>
        <w:rPr>
          <w:rFonts w:ascii="Arial" w:hAnsi="Arial"/>
          <w:sz w:val="24"/>
          <w:szCs w:val="20"/>
        </w:rPr>
      </w:pPr>
      <w:r>
        <w:rPr>
          <w:rFonts w:ascii="Arial" w:hAnsi="Arial"/>
          <w:sz w:val="24"/>
          <w:szCs w:val="20"/>
        </w:rPr>
        <w:t>《磋商文件》由</w:t>
      </w:r>
      <w:r>
        <w:rPr>
          <w:rFonts w:hint="eastAsia" w:ascii="Arial" w:hAnsi="Arial"/>
          <w:sz w:val="24"/>
          <w:szCs w:val="20"/>
        </w:rPr>
        <w:t>以下六</w:t>
      </w:r>
      <w:r>
        <w:rPr>
          <w:rFonts w:ascii="Arial" w:hAnsi="Arial"/>
          <w:sz w:val="24"/>
          <w:szCs w:val="20"/>
        </w:rPr>
        <w:t>部分组成</w:t>
      </w:r>
      <w:r>
        <w:rPr>
          <w:rFonts w:hint="eastAsia" w:ascii="Arial" w:hAnsi="Arial"/>
          <w:sz w:val="24"/>
          <w:szCs w:val="20"/>
        </w:rPr>
        <w:t>，包括</w:t>
      </w:r>
      <w:r>
        <w:rPr>
          <w:rFonts w:ascii="Arial" w:hAnsi="Arial"/>
          <w:sz w:val="24"/>
          <w:szCs w:val="20"/>
        </w:rPr>
        <w:t>：</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第一章</w:t>
      </w:r>
      <w:r>
        <w:rPr>
          <w:rFonts w:ascii="Arial" w:hAnsi="Arial"/>
          <w:sz w:val="24"/>
          <w:szCs w:val="20"/>
        </w:rPr>
        <w:t>磋商邀请</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第二章磋商资料表和</w:t>
      </w:r>
      <w:r>
        <w:rPr>
          <w:rFonts w:ascii="Arial" w:hAnsi="Arial"/>
          <w:sz w:val="24"/>
          <w:szCs w:val="20"/>
        </w:rPr>
        <w:t>供应商须知</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第三章评定成交标准</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第四章技术要求/服务需求书</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第五章</w:t>
      </w:r>
      <w:r>
        <w:rPr>
          <w:rFonts w:ascii="Arial" w:hAnsi="Arial"/>
          <w:sz w:val="24"/>
          <w:szCs w:val="20"/>
        </w:rPr>
        <w:t>合同</w:t>
      </w:r>
      <w:r>
        <w:rPr>
          <w:rFonts w:hint="eastAsia" w:ascii="Arial" w:hAnsi="Arial"/>
          <w:sz w:val="24"/>
          <w:szCs w:val="20"/>
        </w:rPr>
        <w:t>主要</w:t>
      </w:r>
      <w:r>
        <w:rPr>
          <w:rFonts w:ascii="Arial" w:hAnsi="Arial"/>
          <w:sz w:val="24"/>
          <w:szCs w:val="20"/>
        </w:rPr>
        <w:t>条款</w:t>
      </w:r>
      <w:r>
        <w:rPr>
          <w:rFonts w:hint="eastAsia" w:ascii="Arial" w:hAnsi="Arial"/>
          <w:sz w:val="24"/>
          <w:szCs w:val="20"/>
        </w:rPr>
        <w:t>及格式</w:t>
      </w:r>
    </w:p>
    <w:p>
      <w:pPr>
        <w:numPr>
          <w:ilvl w:val="2"/>
          <w:numId w:val="22"/>
        </w:numPr>
        <w:snapToGrid w:val="0"/>
        <w:spacing w:line="360" w:lineRule="auto"/>
        <w:ind w:firstLine="283" w:firstLineChars="118"/>
        <w:rPr>
          <w:rFonts w:ascii="Arial" w:hAnsi="Arial"/>
          <w:sz w:val="24"/>
          <w:szCs w:val="20"/>
        </w:rPr>
      </w:pPr>
      <w:r>
        <w:rPr>
          <w:rFonts w:hint="eastAsia" w:ascii="Arial" w:hAnsi="Arial"/>
          <w:sz w:val="24"/>
          <w:szCs w:val="20"/>
        </w:rPr>
        <w:t>第六章</w:t>
      </w:r>
      <w:r>
        <w:rPr>
          <w:rFonts w:ascii="Arial" w:hAnsi="Arial"/>
          <w:sz w:val="24"/>
          <w:szCs w:val="20"/>
        </w:rPr>
        <w:t>附件</w:t>
      </w:r>
    </w:p>
    <w:p>
      <w:pPr>
        <w:numPr>
          <w:ilvl w:val="0"/>
          <w:numId w:val="14"/>
        </w:numPr>
        <w:snapToGrid w:val="0"/>
        <w:spacing w:line="360" w:lineRule="auto"/>
        <w:rPr>
          <w:rFonts w:ascii="Arial" w:hAnsi="Arial" w:eastAsia="黑体"/>
          <w:sz w:val="24"/>
          <w:szCs w:val="20"/>
        </w:rPr>
      </w:pPr>
      <w:bookmarkStart w:id="173" w:name="_Toc83547648"/>
      <w:bookmarkStart w:id="174" w:name="_Toc85430429"/>
      <w:r>
        <w:rPr>
          <w:rFonts w:ascii="Arial" w:hAnsi="Arial" w:eastAsia="黑体"/>
          <w:sz w:val="24"/>
          <w:szCs w:val="20"/>
        </w:rPr>
        <w:t>磋商文件的澄清</w:t>
      </w:r>
      <w:bookmarkEnd w:id="173"/>
      <w:bookmarkEnd w:id="174"/>
      <w:r>
        <w:rPr>
          <w:rFonts w:hint="eastAsia" w:ascii="Arial" w:hAnsi="Arial" w:eastAsia="黑体"/>
          <w:sz w:val="24"/>
          <w:szCs w:val="20"/>
        </w:rPr>
        <w:t>和修改</w:t>
      </w:r>
    </w:p>
    <w:p>
      <w:pPr>
        <w:numPr>
          <w:ilvl w:val="0"/>
          <w:numId w:val="23"/>
        </w:numPr>
        <w:snapToGrid w:val="0"/>
        <w:spacing w:line="360" w:lineRule="auto"/>
        <w:rPr>
          <w:rFonts w:ascii="Arial" w:hAnsi="Arial"/>
          <w:sz w:val="24"/>
          <w:szCs w:val="20"/>
        </w:rPr>
      </w:pPr>
      <w:r>
        <w:rPr>
          <w:rFonts w:ascii="Arial" w:hAnsi="Arial"/>
          <w:sz w:val="24"/>
          <w:szCs w:val="20"/>
        </w:rPr>
        <w:t>任何要求对《磋商文件》进行澄清的供应商，均应</w:t>
      </w:r>
      <w:r>
        <w:rPr>
          <w:rFonts w:hint="eastAsia" w:ascii="Arial" w:hAnsi="Arial"/>
          <w:sz w:val="24"/>
          <w:szCs w:val="20"/>
        </w:rPr>
        <w:t>在提交《响应文件》截止时间三日前</w:t>
      </w:r>
      <w:r>
        <w:rPr>
          <w:rFonts w:ascii="Arial" w:hAnsi="Arial"/>
          <w:sz w:val="24"/>
          <w:szCs w:val="20"/>
        </w:rPr>
        <w:t>以书面形式</w:t>
      </w:r>
      <w:r>
        <w:rPr>
          <w:rFonts w:hint="eastAsia" w:ascii="Arial" w:hAnsi="Arial"/>
          <w:sz w:val="24"/>
          <w:szCs w:val="20"/>
        </w:rPr>
        <w:t>（包括书面材料、信函、传真等，下同）</w:t>
      </w:r>
      <w:r>
        <w:rPr>
          <w:rFonts w:ascii="Arial" w:hAnsi="Arial"/>
          <w:sz w:val="24"/>
          <w:szCs w:val="20"/>
        </w:rPr>
        <w:t>通知采购代理机构。采购人和采购代理机构对</w:t>
      </w:r>
      <w:r>
        <w:rPr>
          <w:rFonts w:hint="eastAsia" w:ascii="Arial" w:hAnsi="Arial"/>
          <w:sz w:val="24"/>
          <w:szCs w:val="20"/>
        </w:rPr>
        <w:t>需要进行答复的内容，</w:t>
      </w:r>
      <w:r>
        <w:rPr>
          <w:rFonts w:ascii="Arial" w:hAnsi="Arial"/>
          <w:sz w:val="24"/>
          <w:szCs w:val="20"/>
        </w:rPr>
        <w:t>均以书面形式</w:t>
      </w:r>
      <w:r>
        <w:rPr>
          <w:rFonts w:hint="eastAsia" w:ascii="Arial" w:hAnsi="Arial"/>
          <w:sz w:val="24"/>
          <w:szCs w:val="20"/>
        </w:rPr>
        <w:t>通知每个购买《磋商文件》的供应商</w:t>
      </w:r>
      <w:r>
        <w:rPr>
          <w:rFonts w:ascii="Arial" w:hAnsi="Arial"/>
          <w:sz w:val="24"/>
          <w:szCs w:val="20"/>
        </w:rPr>
        <w:t>（答复中不包括问题的来源）。</w:t>
      </w:r>
    </w:p>
    <w:p>
      <w:pPr>
        <w:numPr>
          <w:ilvl w:val="0"/>
          <w:numId w:val="23"/>
        </w:numPr>
        <w:snapToGrid w:val="0"/>
        <w:spacing w:line="360" w:lineRule="auto"/>
        <w:rPr>
          <w:rFonts w:ascii="Arial" w:hAnsi="Arial"/>
          <w:sz w:val="24"/>
          <w:szCs w:val="20"/>
        </w:rPr>
      </w:pPr>
      <w:r>
        <w:rPr>
          <w:rFonts w:ascii="Arial" w:hAnsi="Arial"/>
          <w:sz w:val="24"/>
          <w:szCs w:val="20"/>
        </w:rPr>
        <w:t>在</w:t>
      </w:r>
      <w:r>
        <w:rPr>
          <w:rFonts w:hint="eastAsia" w:ascii="Arial" w:hAnsi="Arial"/>
          <w:sz w:val="24"/>
          <w:szCs w:val="20"/>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w:t>
      </w:r>
      <w:r>
        <w:rPr>
          <w:rFonts w:ascii="Arial" w:hAnsi="Arial"/>
          <w:sz w:val="24"/>
          <w:szCs w:val="20"/>
        </w:rPr>
        <w:t>《响应文件》</w:t>
      </w:r>
      <w:r>
        <w:rPr>
          <w:rFonts w:hint="eastAsia" w:ascii="Arial" w:hAnsi="Arial"/>
          <w:sz w:val="24"/>
          <w:szCs w:val="20"/>
        </w:rPr>
        <w:t>截止之日</w:t>
      </w:r>
      <w:r>
        <w:rPr>
          <w:rFonts w:ascii="Arial" w:hAnsi="Arial"/>
          <w:sz w:val="24"/>
          <w:szCs w:val="20"/>
        </w:rPr>
        <w:t>5</w:t>
      </w:r>
      <w:r>
        <w:rPr>
          <w:rFonts w:hint="eastAsia" w:ascii="Arial" w:hAnsi="Arial"/>
          <w:sz w:val="24"/>
          <w:szCs w:val="20"/>
        </w:rPr>
        <w:t>日前，以书面形式通知所有接收磋商文件的供应商，不足</w:t>
      </w:r>
      <w:r>
        <w:rPr>
          <w:rFonts w:ascii="Arial" w:hAnsi="Arial"/>
          <w:sz w:val="24"/>
          <w:szCs w:val="20"/>
        </w:rPr>
        <w:t>5</w:t>
      </w:r>
      <w:r>
        <w:rPr>
          <w:rFonts w:hint="eastAsia" w:ascii="Arial" w:hAnsi="Arial"/>
          <w:sz w:val="24"/>
          <w:szCs w:val="20"/>
        </w:rPr>
        <w:t>日的，应当顺延提交首次《响应文件》截止之日</w:t>
      </w:r>
      <w:r>
        <w:rPr>
          <w:rFonts w:ascii="Arial" w:hAnsi="Arial"/>
          <w:sz w:val="24"/>
          <w:szCs w:val="20"/>
        </w:rPr>
        <w:t>。</w:t>
      </w:r>
    </w:p>
    <w:p>
      <w:pPr>
        <w:numPr>
          <w:ilvl w:val="0"/>
          <w:numId w:val="23"/>
        </w:numPr>
        <w:snapToGrid w:val="0"/>
        <w:spacing w:line="360" w:lineRule="auto"/>
        <w:rPr>
          <w:rFonts w:ascii="Arial" w:hAnsi="Arial"/>
          <w:sz w:val="24"/>
          <w:szCs w:val="20"/>
        </w:rPr>
      </w:pPr>
      <w:r>
        <w:rPr>
          <w:rFonts w:ascii="Arial" w:hAnsi="Arial"/>
          <w:sz w:val="24"/>
          <w:szCs w:val="20"/>
        </w:rPr>
        <w:t>《磋商文件》的</w:t>
      </w:r>
      <w:r>
        <w:rPr>
          <w:rFonts w:hint="eastAsia" w:ascii="Arial" w:hAnsi="Arial"/>
          <w:sz w:val="24"/>
          <w:szCs w:val="20"/>
        </w:rPr>
        <w:t>澄清或者</w:t>
      </w:r>
      <w:r>
        <w:rPr>
          <w:rFonts w:ascii="Arial" w:hAnsi="Arial"/>
          <w:sz w:val="24"/>
          <w:szCs w:val="20"/>
        </w:rPr>
        <w:t>修改将以书面形式通知所有</w:t>
      </w:r>
      <w:r>
        <w:rPr>
          <w:rFonts w:hint="eastAsia" w:ascii="Arial" w:hAnsi="Arial"/>
          <w:sz w:val="24"/>
          <w:szCs w:val="20"/>
        </w:rPr>
        <w:t>接收</w:t>
      </w:r>
      <w:r>
        <w:rPr>
          <w:rFonts w:ascii="Arial" w:hAnsi="Arial"/>
          <w:sz w:val="24"/>
          <w:szCs w:val="20"/>
        </w:rPr>
        <w:t>《磋商文件》的供应商，并对其具有约束力。供应商在收到上述通知后，应立即回函确认。</w:t>
      </w:r>
    </w:p>
    <w:p>
      <w:pPr>
        <w:numPr>
          <w:ilvl w:val="0"/>
          <w:numId w:val="23"/>
        </w:numPr>
        <w:snapToGrid w:val="0"/>
        <w:spacing w:line="360" w:lineRule="auto"/>
        <w:rPr>
          <w:rFonts w:ascii="Arial" w:hAnsi="Arial"/>
          <w:sz w:val="24"/>
          <w:szCs w:val="20"/>
        </w:rPr>
      </w:pPr>
      <w:r>
        <w:rPr>
          <w:rFonts w:hint="eastAsia" w:ascii="Arial" w:hAnsi="Arial" w:cs="Arial"/>
          <w:sz w:val="24"/>
        </w:rPr>
        <w:t>采购人、采购代理机构将视情况确定是否有必要安排所有</w:t>
      </w:r>
      <w:r>
        <w:rPr>
          <w:rFonts w:hint="eastAsia" w:ascii="Arial" w:hAnsi="Arial"/>
          <w:sz w:val="24"/>
          <w:szCs w:val="20"/>
        </w:rPr>
        <w:t>接收了</w:t>
      </w:r>
      <w:r>
        <w:rPr>
          <w:rFonts w:ascii="Arial" w:hAnsi="Arial"/>
          <w:sz w:val="24"/>
          <w:szCs w:val="20"/>
        </w:rPr>
        <w:t>《磋商文件》的供应商</w:t>
      </w:r>
      <w:r>
        <w:rPr>
          <w:rFonts w:hint="eastAsia" w:ascii="Arial" w:hAnsi="Arial" w:cs="Arial"/>
          <w:sz w:val="24"/>
        </w:rPr>
        <w:t>踏勘现场，相关要求见</w:t>
      </w:r>
      <w:r>
        <w:rPr>
          <w:rFonts w:hint="eastAsia" w:ascii="黑体" w:hAnsi="宋体" w:eastAsia="黑体"/>
          <w:sz w:val="24"/>
          <w:szCs w:val="20"/>
        </w:rPr>
        <w:t>磋商资料表</w:t>
      </w:r>
      <w:r>
        <w:rPr>
          <w:rFonts w:hint="eastAsia" w:ascii="黑体" w:hAnsi="宋体" w:eastAsia="黑体"/>
          <w:sz w:val="24"/>
          <w:szCs w:val="20"/>
          <w:u w:val="single"/>
        </w:rPr>
        <w:t>第4条</w:t>
      </w:r>
      <w:r>
        <w:rPr>
          <w:rFonts w:hint="eastAsia" w:ascii="黑体" w:hAnsi="宋体" w:eastAsia="黑体"/>
          <w:sz w:val="24"/>
          <w:szCs w:val="20"/>
        </w:rPr>
        <w:t>。</w:t>
      </w:r>
    </w:p>
    <w:p>
      <w:pPr>
        <w:numPr>
          <w:ilvl w:val="0"/>
          <w:numId w:val="23"/>
        </w:numPr>
        <w:snapToGrid w:val="0"/>
        <w:spacing w:line="360" w:lineRule="auto"/>
        <w:rPr>
          <w:rFonts w:ascii="Arial" w:hAnsi="Arial"/>
          <w:sz w:val="24"/>
          <w:szCs w:val="20"/>
        </w:rPr>
      </w:pPr>
      <w:r>
        <w:rPr>
          <w:rFonts w:hint="eastAsia" w:ascii="Arial" w:hAnsi="Arial" w:cs="Arial"/>
          <w:sz w:val="24"/>
        </w:rPr>
        <w:t>采购人、采购代理机构将视情况确定是否有必要召开答疑会，相关要求见</w:t>
      </w:r>
      <w:r>
        <w:rPr>
          <w:rFonts w:hint="eastAsia" w:ascii="黑体" w:hAnsi="宋体" w:eastAsia="黑体"/>
          <w:sz w:val="24"/>
          <w:szCs w:val="20"/>
        </w:rPr>
        <w:t>磋商资料表</w:t>
      </w:r>
      <w:r>
        <w:rPr>
          <w:rFonts w:hint="eastAsia" w:ascii="黑体" w:hAnsi="宋体" w:eastAsia="黑体"/>
          <w:sz w:val="24"/>
          <w:szCs w:val="20"/>
          <w:u w:val="single"/>
        </w:rPr>
        <w:t>第5条</w:t>
      </w:r>
      <w:r>
        <w:rPr>
          <w:rFonts w:hint="eastAsia" w:ascii="黑体" w:hAnsi="宋体" w:eastAsia="黑体"/>
          <w:sz w:val="24"/>
          <w:szCs w:val="20"/>
        </w:rPr>
        <w:t>。</w:t>
      </w:r>
    </w:p>
    <w:p>
      <w:pPr>
        <w:snapToGrid w:val="0"/>
        <w:spacing w:line="360" w:lineRule="auto"/>
        <w:outlineLvl w:val="0"/>
        <w:rPr>
          <w:rFonts w:ascii="Arial" w:hAnsi="Arial" w:eastAsia="黑体"/>
          <w:sz w:val="24"/>
          <w:szCs w:val="20"/>
        </w:rPr>
      </w:pPr>
      <w:bookmarkStart w:id="175" w:name="_Toc85186249"/>
      <w:bookmarkStart w:id="176" w:name="_Toc235856989"/>
      <w:bookmarkStart w:id="177" w:name="_Toc85430431"/>
      <w:bookmarkStart w:id="178" w:name="_Toc85186133"/>
      <w:bookmarkStart w:id="179" w:name="_Toc83547650"/>
      <w:bookmarkStart w:id="180" w:name="_Toc389142111"/>
      <w:bookmarkStart w:id="181" w:name="_Toc5957168"/>
      <w:bookmarkStart w:id="182" w:name="_Toc27475557"/>
      <w:bookmarkStart w:id="183" w:name="_Toc48061812"/>
      <w:bookmarkStart w:id="184" w:name="_Toc57032380"/>
      <w:bookmarkStart w:id="185" w:name="_Toc92357010"/>
      <w:bookmarkStart w:id="186" w:name="_Toc92965927"/>
      <w:r>
        <w:rPr>
          <w:rFonts w:ascii="Arial" w:hAnsi="Arial" w:eastAsia="黑体"/>
          <w:sz w:val="24"/>
          <w:szCs w:val="20"/>
        </w:rPr>
        <w:t>三、《响应文件》的编制</w:t>
      </w:r>
      <w:bookmarkEnd w:id="175"/>
      <w:bookmarkEnd w:id="176"/>
      <w:bookmarkEnd w:id="177"/>
      <w:bookmarkEnd w:id="178"/>
      <w:bookmarkEnd w:id="179"/>
      <w:bookmarkEnd w:id="180"/>
      <w:bookmarkEnd w:id="181"/>
      <w:bookmarkEnd w:id="182"/>
      <w:bookmarkEnd w:id="183"/>
      <w:bookmarkEnd w:id="184"/>
      <w:bookmarkEnd w:id="185"/>
      <w:bookmarkEnd w:id="186"/>
    </w:p>
    <w:p>
      <w:pPr>
        <w:numPr>
          <w:ilvl w:val="0"/>
          <w:numId w:val="14"/>
        </w:numPr>
        <w:snapToGrid w:val="0"/>
        <w:spacing w:line="360" w:lineRule="auto"/>
        <w:rPr>
          <w:rFonts w:ascii="Arial" w:hAnsi="Arial" w:eastAsia="黑体"/>
          <w:sz w:val="24"/>
          <w:szCs w:val="20"/>
        </w:rPr>
      </w:pPr>
      <w:bookmarkStart w:id="187" w:name="_Toc85430432"/>
      <w:bookmarkStart w:id="188" w:name="_Toc83547651"/>
      <w:r>
        <w:rPr>
          <w:rFonts w:ascii="Arial" w:hAnsi="Arial" w:eastAsia="黑体"/>
          <w:sz w:val="24"/>
          <w:szCs w:val="20"/>
        </w:rPr>
        <w:t>使用的语言</w:t>
      </w:r>
      <w:bookmarkEnd w:id="187"/>
      <w:bookmarkEnd w:id="188"/>
      <w:r>
        <w:rPr>
          <w:rFonts w:hint="eastAsia" w:ascii="Arial" w:hAnsi="Arial" w:eastAsia="黑体"/>
          <w:sz w:val="24"/>
          <w:szCs w:val="20"/>
        </w:rPr>
        <w:t>和计量单位</w:t>
      </w:r>
    </w:p>
    <w:p>
      <w:pPr>
        <w:numPr>
          <w:ilvl w:val="0"/>
          <w:numId w:val="24"/>
        </w:numPr>
        <w:snapToGrid w:val="0"/>
        <w:spacing w:line="360" w:lineRule="auto"/>
        <w:rPr>
          <w:rFonts w:ascii="Arial" w:hAnsi="Arial"/>
          <w:sz w:val="24"/>
          <w:szCs w:val="20"/>
        </w:rPr>
      </w:pPr>
      <w:r>
        <w:rPr>
          <w:rFonts w:ascii="Arial" w:hAnsi="Arial"/>
          <w:sz w:val="24"/>
          <w:szCs w:val="20"/>
        </w:rPr>
        <w:t>供应商提交的《响应文件》以及供应商与采购人和采购代理机构就有关磋商的所有来往函电均应使用中文书写。供应商提交的支持文件和印制的文献可以用另一种语言，但相应内容必须附有中文翻译本，在解释《响应文件》时以翻译本为准。</w:t>
      </w:r>
    </w:p>
    <w:p>
      <w:pPr>
        <w:numPr>
          <w:ilvl w:val="0"/>
          <w:numId w:val="24"/>
        </w:numPr>
        <w:snapToGrid w:val="0"/>
        <w:spacing w:line="360" w:lineRule="auto"/>
        <w:rPr>
          <w:rFonts w:ascii="Arial" w:hAnsi="Arial"/>
          <w:sz w:val="24"/>
          <w:szCs w:val="20"/>
        </w:rPr>
      </w:pPr>
      <w:r>
        <w:rPr>
          <w:rFonts w:hint="eastAsia" w:ascii="Arial" w:hAnsi="Arial" w:cs="Arial"/>
          <w:sz w:val="24"/>
        </w:rPr>
        <w:t>《响应文件》所使用的计量单位，应使用国家法定计量单位</w:t>
      </w:r>
      <w:r>
        <w:rPr>
          <w:rFonts w:ascii="Arial" w:hAnsi="Arial" w:cs="Arial"/>
          <w:sz w:val="24"/>
          <w:szCs w:val="20"/>
        </w:rPr>
        <w:t>。</w:t>
      </w:r>
    </w:p>
    <w:p>
      <w:pPr>
        <w:numPr>
          <w:ilvl w:val="0"/>
          <w:numId w:val="14"/>
        </w:numPr>
        <w:snapToGrid w:val="0"/>
        <w:spacing w:line="360" w:lineRule="auto"/>
        <w:rPr>
          <w:rFonts w:ascii="Arial" w:hAnsi="Arial" w:eastAsia="黑体"/>
          <w:sz w:val="24"/>
          <w:szCs w:val="20"/>
        </w:rPr>
      </w:pPr>
      <w:bookmarkStart w:id="189" w:name="_Toc83547652"/>
      <w:bookmarkStart w:id="190" w:name="_Toc85430433"/>
      <w:r>
        <w:rPr>
          <w:rFonts w:ascii="Arial" w:hAnsi="Arial" w:eastAsia="黑体"/>
          <w:sz w:val="24"/>
          <w:szCs w:val="20"/>
        </w:rPr>
        <w:t>《响应文件》构成</w:t>
      </w:r>
      <w:bookmarkEnd w:id="189"/>
      <w:bookmarkEnd w:id="190"/>
    </w:p>
    <w:p>
      <w:pPr>
        <w:numPr>
          <w:ilvl w:val="0"/>
          <w:numId w:val="25"/>
        </w:numPr>
        <w:snapToGrid w:val="0"/>
        <w:spacing w:line="360" w:lineRule="auto"/>
        <w:rPr>
          <w:rFonts w:ascii="Arial" w:hAnsi="Arial"/>
          <w:sz w:val="24"/>
          <w:szCs w:val="20"/>
        </w:rPr>
      </w:pPr>
      <w:r>
        <w:rPr>
          <w:rFonts w:hint="eastAsia" w:ascii="Arial" w:hAnsi="Arial" w:cs="Arial"/>
          <w:sz w:val="24"/>
        </w:rPr>
        <w:t>供应商</w:t>
      </w:r>
      <w:r>
        <w:rPr>
          <w:rFonts w:ascii="Arial" w:hAnsi="Arial" w:cs="Arial"/>
          <w:sz w:val="24"/>
        </w:rPr>
        <w:t>编写的</w:t>
      </w:r>
      <w:r>
        <w:rPr>
          <w:rFonts w:hint="eastAsia" w:ascii="Arial" w:hAnsi="Arial" w:cs="Arial"/>
          <w:sz w:val="24"/>
        </w:rPr>
        <w:t>响应文件</w:t>
      </w:r>
      <w:r>
        <w:rPr>
          <w:rFonts w:ascii="Arial" w:hAnsi="Arial" w:cs="Arial"/>
          <w:sz w:val="24"/>
        </w:rPr>
        <w:t>应包括但不限于</w:t>
      </w:r>
      <w:r>
        <w:rPr>
          <w:rFonts w:hint="eastAsia" w:ascii="黑体" w:hAnsi="Arial" w:eastAsia="黑体" w:cs="Arial"/>
          <w:sz w:val="24"/>
        </w:rPr>
        <w:t>磋商资料表</w:t>
      </w:r>
      <w:r>
        <w:rPr>
          <w:rFonts w:hint="eastAsia" w:ascii="黑体" w:hAnsi="Arial" w:eastAsia="黑体" w:cs="Arial"/>
          <w:sz w:val="24"/>
          <w:u w:val="single"/>
        </w:rPr>
        <w:t>第6条</w:t>
      </w:r>
      <w:r>
        <w:rPr>
          <w:rFonts w:ascii="Arial" w:hAnsi="Arial" w:cs="Arial"/>
          <w:sz w:val="24"/>
        </w:rPr>
        <w:t>中列</w:t>
      </w:r>
      <w:r>
        <w:rPr>
          <w:rFonts w:hint="eastAsia" w:ascii="Arial" w:hAnsi="Arial" w:cs="Arial"/>
          <w:sz w:val="24"/>
        </w:rPr>
        <w:t>明</w:t>
      </w:r>
      <w:r>
        <w:rPr>
          <w:rFonts w:ascii="Arial" w:hAnsi="Arial" w:cs="Arial"/>
          <w:sz w:val="24"/>
        </w:rPr>
        <w:t>的内容</w:t>
      </w:r>
      <w:r>
        <w:rPr>
          <w:rFonts w:hint="eastAsia" w:ascii="Arial" w:hAnsi="Arial" w:cs="Arial"/>
          <w:sz w:val="24"/>
        </w:rPr>
        <w:t>，其中加“*”项目若不满足要求，将导致响应无效，且不允许在磋商后补正。</w:t>
      </w:r>
    </w:p>
    <w:p>
      <w:pPr>
        <w:numPr>
          <w:ilvl w:val="0"/>
          <w:numId w:val="25"/>
        </w:numPr>
        <w:snapToGrid w:val="0"/>
        <w:spacing w:line="360" w:lineRule="auto"/>
        <w:rPr>
          <w:rFonts w:ascii="Arial" w:hAnsi="Arial"/>
          <w:sz w:val="24"/>
          <w:szCs w:val="20"/>
        </w:rPr>
      </w:pPr>
      <w:r>
        <w:rPr>
          <w:rFonts w:hint="eastAsia" w:ascii="Arial" w:hAnsi="Arial" w:cs="Arial"/>
          <w:sz w:val="24"/>
        </w:rPr>
        <w:t>供应商必须保证响应文件所提供的全部资料真实可靠，并接受磋商小组对其中任何资料进一步审查的要求。</w:t>
      </w:r>
    </w:p>
    <w:p>
      <w:pPr>
        <w:numPr>
          <w:ilvl w:val="0"/>
          <w:numId w:val="14"/>
        </w:numPr>
        <w:snapToGrid w:val="0"/>
        <w:spacing w:line="360" w:lineRule="auto"/>
        <w:rPr>
          <w:rFonts w:ascii="Arial" w:hAnsi="Arial" w:eastAsia="黑体"/>
          <w:sz w:val="24"/>
          <w:szCs w:val="20"/>
        </w:rPr>
      </w:pPr>
      <w:bookmarkStart w:id="191" w:name="_Hlt89655401"/>
      <w:bookmarkEnd w:id="191"/>
      <w:bookmarkStart w:id="192" w:name="_Toc83547653"/>
      <w:bookmarkStart w:id="193" w:name="_Toc85430434"/>
      <w:r>
        <w:rPr>
          <w:rFonts w:hint="eastAsia" w:ascii="Arial" w:hAnsi="Arial" w:eastAsia="黑体"/>
          <w:sz w:val="24"/>
          <w:szCs w:val="20"/>
        </w:rPr>
        <w:t>《响应文件》的式样和签署</w:t>
      </w:r>
    </w:p>
    <w:p>
      <w:pPr>
        <w:numPr>
          <w:ilvl w:val="0"/>
          <w:numId w:val="26"/>
        </w:numPr>
        <w:adjustRightInd w:val="0"/>
        <w:snapToGrid w:val="0"/>
        <w:spacing w:line="360" w:lineRule="auto"/>
        <w:ind w:left="567" w:hanging="567"/>
        <w:rPr>
          <w:rFonts w:ascii="Arial" w:hAnsi="Arial" w:cs="Arial"/>
          <w:sz w:val="24"/>
        </w:rPr>
      </w:pPr>
      <w:r>
        <w:rPr>
          <w:rFonts w:hint="eastAsia" w:ascii="Arial" w:hAnsi="Arial" w:cs="Arial"/>
          <w:sz w:val="24"/>
        </w:rPr>
        <w:t>响应文件规格幅面使用A4规格纸张，按照磋商文件第六章规定的顺序，统一编目编码装订。由于编排混乱导致响应文件被误读或查找不到，其责任应当有供应商承担。响应文件装订采用胶订或线订形式，不得采用活页装订，否则将被视为无效文件。</w:t>
      </w:r>
    </w:p>
    <w:p>
      <w:pPr>
        <w:numPr>
          <w:ilvl w:val="0"/>
          <w:numId w:val="26"/>
        </w:numPr>
        <w:adjustRightInd w:val="0"/>
        <w:snapToGrid w:val="0"/>
        <w:spacing w:line="360" w:lineRule="auto"/>
        <w:ind w:left="567" w:hanging="567"/>
        <w:rPr>
          <w:rFonts w:ascii="Arial" w:hAnsi="Arial" w:cs="Arial"/>
          <w:sz w:val="24"/>
        </w:rPr>
      </w:pPr>
      <w:r>
        <w:rPr>
          <w:rFonts w:hint="eastAsia" w:ascii="Arial" w:hAnsi="Arial" w:cs="Arial"/>
          <w:sz w:val="24"/>
        </w:rPr>
        <w:t>供应商在响应文件及相关文件的签订、履行、通知等事项的书面文件中的单位盖章、印章、公章等处均仅指与当事人名称全称相一致的标准公章，不得使用其它形式（如带有“专用章”等字样的印章），否则将被视为无效文件。</w:t>
      </w:r>
    </w:p>
    <w:p>
      <w:pPr>
        <w:numPr>
          <w:ilvl w:val="0"/>
          <w:numId w:val="26"/>
        </w:numPr>
        <w:adjustRightInd w:val="0"/>
        <w:snapToGrid w:val="0"/>
        <w:spacing w:line="360" w:lineRule="auto"/>
        <w:ind w:left="567" w:hanging="567"/>
        <w:rPr>
          <w:rFonts w:ascii="Arial" w:hAnsi="Arial" w:cs="Arial"/>
          <w:sz w:val="24"/>
        </w:rPr>
      </w:pPr>
      <w:r>
        <w:rPr>
          <w:rFonts w:hint="eastAsia" w:ascii="Arial" w:hAnsi="Arial" w:cs="Arial"/>
          <w:sz w:val="24"/>
        </w:rPr>
        <w:t>响应</w:t>
      </w:r>
      <w:r>
        <w:rPr>
          <w:rFonts w:ascii="Arial" w:hAnsi="Arial" w:cs="Arial"/>
          <w:sz w:val="24"/>
        </w:rPr>
        <w:t>文件的正本需打印或用不退色墨水书写，</w:t>
      </w:r>
      <w:r>
        <w:rPr>
          <w:rFonts w:hint="eastAsia" w:ascii="Arial" w:hAnsi="Arial" w:cs="Arial"/>
          <w:sz w:val="24"/>
        </w:rPr>
        <w:t>在适当的位置填写供应商全称并加盖公章，</w:t>
      </w:r>
      <w:r>
        <w:rPr>
          <w:rFonts w:ascii="Arial" w:hAnsi="Arial" w:cs="Arial"/>
          <w:sz w:val="24"/>
        </w:rPr>
        <w:t>并由</w:t>
      </w:r>
      <w:r>
        <w:rPr>
          <w:rFonts w:hint="eastAsia" w:ascii="Arial" w:hAnsi="Arial" w:cs="Arial"/>
          <w:sz w:val="24"/>
        </w:rPr>
        <w:t>供应商法定代表人</w:t>
      </w:r>
      <w:r>
        <w:rPr>
          <w:rFonts w:ascii="Arial" w:hAnsi="Arial" w:cs="Arial"/>
          <w:sz w:val="24"/>
        </w:rPr>
        <w:t>或经正式授权的</w:t>
      </w:r>
      <w:r>
        <w:rPr>
          <w:rFonts w:hint="eastAsia" w:ascii="Arial" w:hAnsi="Arial" w:cs="Arial"/>
          <w:sz w:val="24"/>
        </w:rPr>
        <w:t>供应商</w:t>
      </w:r>
      <w:r>
        <w:rPr>
          <w:rFonts w:ascii="Arial" w:hAnsi="Arial" w:cs="Arial"/>
          <w:sz w:val="24"/>
        </w:rPr>
        <w:t>代表</w:t>
      </w:r>
      <w:r>
        <w:rPr>
          <w:rFonts w:hint="eastAsia" w:ascii="Arial" w:hAnsi="Arial" w:cs="Arial"/>
          <w:sz w:val="24"/>
        </w:rPr>
        <w:t>签署全名或</w:t>
      </w:r>
      <w:r>
        <w:rPr>
          <w:rFonts w:ascii="Arial" w:hAnsi="Arial" w:cs="Arial"/>
          <w:sz w:val="24"/>
        </w:rPr>
        <w:t>加盖</w:t>
      </w:r>
      <w:r>
        <w:rPr>
          <w:rFonts w:hint="eastAsia" w:ascii="Arial" w:hAnsi="Arial" w:cs="Arial"/>
          <w:sz w:val="24"/>
        </w:rPr>
        <w:t>本人签名章</w:t>
      </w:r>
      <w:r>
        <w:rPr>
          <w:rFonts w:ascii="Arial" w:hAnsi="Arial" w:cs="Arial"/>
          <w:sz w:val="24"/>
        </w:rPr>
        <w:t>。</w:t>
      </w:r>
      <w:r>
        <w:rPr>
          <w:rFonts w:hint="eastAsia" w:ascii="Arial" w:hAnsi="Arial" w:cs="Arial"/>
          <w:sz w:val="24"/>
        </w:rPr>
        <w:t>不符合本条规定的将被视为无效文件。供应商</w:t>
      </w:r>
      <w:r>
        <w:rPr>
          <w:rFonts w:ascii="Arial" w:hAnsi="Arial" w:cs="Arial"/>
          <w:sz w:val="24"/>
        </w:rPr>
        <w:t>授权代表须将以书面形式出具的“法定代表人授权书”附在</w:t>
      </w:r>
      <w:r>
        <w:rPr>
          <w:rFonts w:hint="eastAsia" w:ascii="Arial" w:hAnsi="Arial" w:cs="Arial"/>
          <w:sz w:val="24"/>
        </w:rPr>
        <w:t>响应</w:t>
      </w:r>
      <w:r>
        <w:rPr>
          <w:rFonts w:ascii="Arial" w:hAnsi="Arial" w:cs="Arial"/>
          <w:sz w:val="24"/>
        </w:rPr>
        <w:t>文件中。</w:t>
      </w:r>
      <w:r>
        <w:rPr>
          <w:rFonts w:hint="eastAsia" w:ascii="Arial" w:hAnsi="Arial" w:cs="Arial"/>
          <w:sz w:val="24"/>
        </w:rPr>
        <w:t>响应</w:t>
      </w:r>
      <w:r>
        <w:rPr>
          <w:rFonts w:ascii="Arial" w:hAnsi="Arial" w:cs="Arial"/>
          <w:sz w:val="24"/>
        </w:rPr>
        <w:t>文件的副本可以是正本的复印件。</w:t>
      </w:r>
    </w:p>
    <w:p>
      <w:pPr>
        <w:numPr>
          <w:ilvl w:val="0"/>
          <w:numId w:val="26"/>
        </w:numPr>
        <w:adjustRightInd w:val="0"/>
        <w:snapToGrid w:val="0"/>
        <w:spacing w:line="360" w:lineRule="auto"/>
        <w:ind w:left="567" w:hanging="567"/>
        <w:rPr>
          <w:rFonts w:ascii="Arial" w:hAnsi="Arial" w:cs="Arial"/>
          <w:sz w:val="24"/>
        </w:rPr>
      </w:pPr>
      <w:r>
        <w:rPr>
          <w:rFonts w:hint="eastAsia" w:ascii="Arial" w:hAnsi="Arial" w:cs="Arial"/>
          <w:sz w:val="24"/>
        </w:rPr>
        <w:t>响应文件应字迹清楚，内容齐全，不得涂改或增删。</w:t>
      </w:r>
      <w:r>
        <w:rPr>
          <w:rFonts w:ascii="Arial" w:hAnsi="Arial" w:cs="Arial"/>
          <w:sz w:val="24"/>
        </w:rPr>
        <w:t>任何行间插字、涂改和增删</w:t>
      </w:r>
      <w:r>
        <w:rPr>
          <w:rFonts w:hint="eastAsia" w:ascii="Arial" w:hAnsi="Arial" w:cs="Arial"/>
          <w:sz w:val="24"/>
        </w:rPr>
        <w:t>，必</w:t>
      </w:r>
      <w:r>
        <w:rPr>
          <w:rFonts w:ascii="Arial" w:hAnsi="Arial" w:cs="Arial"/>
          <w:sz w:val="24"/>
        </w:rPr>
        <w:t>须</w:t>
      </w:r>
      <w:r>
        <w:rPr>
          <w:rFonts w:hint="eastAsia" w:ascii="Arial" w:hAnsi="Arial" w:cs="Arial"/>
          <w:sz w:val="24"/>
        </w:rPr>
        <w:t>有供应商公章及授权代表</w:t>
      </w:r>
      <w:r>
        <w:rPr>
          <w:rFonts w:ascii="Arial" w:hAnsi="Arial" w:cs="Arial"/>
          <w:sz w:val="24"/>
        </w:rPr>
        <w:t>签字</w:t>
      </w:r>
      <w:r>
        <w:rPr>
          <w:rFonts w:hint="eastAsia" w:ascii="Arial" w:hAnsi="Arial" w:cs="Arial"/>
          <w:sz w:val="24"/>
        </w:rPr>
        <w:t>方为</w:t>
      </w:r>
      <w:r>
        <w:rPr>
          <w:rFonts w:ascii="Arial" w:hAnsi="Arial" w:cs="Arial"/>
          <w:sz w:val="24"/>
        </w:rPr>
        <w:t>有效。</w:t>
      </w:r>
    </w:p>
    <w:p>
      <w:pPr>
        <w:numPr>
          <w:ilvl w:val="0"/>
          <w:numId w:val="26"/>
        </w:numPr>
        <w:adjustRightInd w:val="0"/>
        <w:snapToGrid w:val="0"/>
        <w:spacing w:line="360" w:lineRule="auto"/>
        <w:ind w:left="567" w:hanging="567"/>
        <w:rPr>
          <w:rFonts w:ascii="Arial" w:hAnsi="Arial" w:cs="Arial"/>
          <w:sz w:val="24"/>
        </w:rPr>
      </w:pPr>
      <w:r>
        <w:rPr>
          <w:rFonts w:hint="eastAsia" w:ascii="Arial" w:hAnsi="Arial" w:cs="Arial"/>
          <w:sz w:val="24"/>
        </w:rPr>
        <w:t>供应商</w:t>
      </w:r>
      <w:r>
        <w:rPr>
          <w:rFonts w:ascii="Arial" w:hAnsi="Arial" w:cs="Arial"/>
          <w:sz w:val="24"/>
        </w:rPr>
        <w:t>应</w:t>
      </w:r>
      <w:r>
        <w:rPr>
          <w:rFonts w:hint="eastAsia" w:ascii="Arial" w:hAnsi="Arial" w:cs="Arial"/>
          <w:sz w:val="24"/>
        </w:rPr>
        <w:t>按</w:t>
      </w:r>
      <w:r>
        <w:rPr>
          <w:rFonts w:hint="eastAsia" w:ascii="黑体" w:hAnsi="宋体" w:eastAsia="黑体"/>
          <w:sz w:val="24"/>
          <w:szCs w:val="20"/>
        </w:rPr>
        <w:t>磋商资料表</w:t>
      </w:r>
      <w:r>
        <w:rPr>
          <w:rFonts w:hint="eastAsia" w:ascii="黑体" w:hAnsi="宋体" w:eastAsia="黑体"/>
          <w:sz w:val="24"/>
          <w:szCs w:val="20"/>
          <w:u w:val="single"/>
        </w:rPr>
        <w:t>第7条</w:t>
      </w:r>
      <w:r>
        <w:rPr>
          <w:rFonts w:hint="eastAsia" w:ascii="Arial" w:hAnsi="Arial" w:cs="Arial"/>
          <w:sz w:val="24"/>
        </w:rPr>
        <w:t>规定的份数</w:t>
      </w:r>
      <w:r>
        <w:rPr>
          <w:rFonts w:ascii="Arial" w:hAnsi="Arial" w:cs="Arial"/>
          <w:sz w:val="24"/>
        </w:rPr>
        <w:t>准备</w:t>
      </w:r>
      <w:r>
        <w:rPr>
          <w:rFonts w:hint="eastAsia" w:ascii="Arial" w:hAnsi="Arial" w:cs="Arial"/>
          <w:sz w:val="24"/>
        </w:rPr>
        <w:t>响应文件</w:t>
      </w:r>
      <w:r>
        <w:rPr>
          <w:rFonts w:ascii="Arial" w:hAnsi="Arial" w:cs="Arial"/>
          <w:sz w:val="24"/>
        </w:rPr>
        <w:t>，每套</w:t>
      </w:r>
      <w:r>
        <w:rPr>
          <w:rFonts w:hint="eastAsia" w:ascii="Arial" w:hAnsi="Arial" w:cs="Arial"/>
          <w:sz w:val="24"/>
        </w:rPr>
        <w:t>响应</w:t>
      </w:r>
      <w:r>
        <w:rPr>
          <w:rFonts w:ascii="Arial" w:hAnsi="Arial" w:cs="Arial"/>
          <w:sz w:val="24"/>
        </w:rPr>
        <w:t>文件须清楚地标明“</w:t>
      </w:r>
      <w:r>
        <w:rPr>
          <w:rFonts w:hint="eastAsia" w:ascii="Arial" w:hAnsi="Arial" w:cs="Arial"/>
          <w:sz w:val="24"/>
        </w:rPr>
        <w:t>响应</w:t>
      </w:r>
      <w:r>
        <w:rPr>
          <w:rFonts w:ascii="Arial" w:hAnsi="Arial" w:cs="Arial"/>
          <w:sz w:val="24"/>
        </w:rPr>
        <w:t>文件正本”、“</w:t>
      </w:r>
      <w:r>
        <w:rPr>
          <w:rFonts w:hint="eastAsia" w:ascii="Arial" w:hAnsi="Arial" w:cs="Arial"/>
          <w:sz w:val="24"/>
        </w:rPr>
        <w:t>响应</w:t>
      </w:r>
      <w:r>
        <w:rPr>
          <w:rFonts w:ascii="Arial" w:hAnsi="Arial" w:cs="Arial"/>
          <w:sz w:val="24"/>
        </w:rPr>
        <w:t>文件副本”、“电子文档”。一旦正本和副本不符，以正本为准；电子文档和纸质文件不符，以纸质文件为准。</w:t>
      </w:r>
    </w:p>
    <w:p>
      <w:pPr>
        <w:numPr>
          <w:ilvl w:val="0"/>
          <w:numId w:val="14"/>
        </w:numPr>
        <w:snapToGrid w:val="0"/>
        <w:spacing w:line="360" w:lineRule="auto"/>
        <w:rPr>
          <w:rFonts w:ascii="Arial" w:hAnsi="Arial" w:eastAsia="黑体"/>
          <w:sz w:val="24"/>
          <w:szCs w:val="20"/>
        </w:rPr>
      </w:pPr>
      <w:r>
        <w:rPr>
          <w:rFonts w:ascii="Arial" w:hAnsi="Arial" w:eastAsia="黑体"/>
          <w:sz w:val="24"/>
          <w:szCs w:val="20"/>
        </w:rPr>
        <w:t>报价</w:t>
      </w:r>
      <w:bookmarkEnd w:id="192"/>
      <w:bookmarkEnd w:id="193"/>
    </w:p>
    <w:p>
      <w:pPr>
        <w:numPr>
          <w:ilvl w:val="0"/>
          <w:numId w:val="27"/>
        </w:numPr>
        <w:snapToGrid w:val="0"/>
        <w:spacing w:line="360" w:lineRule="auto"/>
        <w:rPr>
          <w:rFonts w:ascii="Arial" w:hAnsi="Arial"/>
          <w:sz w:val="24"/>
          <w:szCs w:val="20"/>
        </w:rPr>
      </w:pPr>
      <w:bookmarkStart w:id="194" w:name="_Hlt91904488"/>
      <w:r>
        <w:rPr>
          <w:rFonts w:ascii="Arial" w:hAnsi="Arial" w:cs="Arial"/>
          <w:sz w:val="24"/>
        </w:rPr>
        <w:t>报价要求见</w:t>
      </w:r>
      <w:r>
        <w:rPr>
          <w:rFonts w:hint="eastAsia" w:ascii="黑体" w:hAnsi="Arial" w:eastAsia="黑体" w:cs="Arial"/>
          <w:sz w:val="24"/>
        </w:rPr>
        <w:t>磋商资料表</w:t>
      </w:r>
      <w:r>
        <w:rPr>
          <w:rFonts w:hint="eastAsia" w:ascii="黑体" w:hAnsi="Arial" w:eastAsia="黑体" w:cs="Arial"/>
          <w:sz w:val="24"/>
          <w:u w:val="single"/>
        </w:rPr>
        <w:t>第8条</w:t>
      </w:r>
      <w:r>
        <w:rPr>
          <w:rFonts w:ascii="Arial" w:hAnsi="Arial" w:cs="Arial"/>
          <w:sz w:val="24"/>
        </w:rPr>
        <w:t>。</w:t>
      </w:r>
    </w:p>
    <w:p>
      <w:pPr>
        <w:numPr>
          <w:ilvl w:val="0"/>
          <w:numId w:val="27"/>
        </w:numPr>
        <w:snapToGrid w:val="0"/>
        <w:spacing w:line="360" w:lineRule="auto"/>
        <w:rPr>
          <w:rFonts w:ascii="Arial" w:hAnsi="Arial"/>
          <w:sz w:val="24"/>
          <w:szCs w:val="20"/>
        </w:rPr>
      </w:pPr>
      <w:r>
        <w:rPr>
          <w:rFonts w:hint="eastAsia" w:ascii="Arial" w:hAnsi="Arial" w:cs="Arial"/>
          <w:sz w:val="24"/>
        </w:rPr>
        <w:t>所有报价均以人民币元为计量单位。只要投报了一个确定数额的总价，无论分项价格是否全部填报了相应的金额或免费字样，报价应被视为已经包含了但并不限于各项相关服务等的费用和所需缴纳的所有价格、税、费，并且报价应该被视为已经扣除所有同业折扣以及现金折扣。在其它情况下，由于分项报价填报不完整、不清楚或存在其它任何失误，所导致的任何不利后果均应当由供应商自行承担。</w:t>
      </w:r>
    </w:p>
    <w:p>
      <w:pPr>
        <w:numPr>
          <w:ilvl w:val="0"/>
          <w:numId w:val="27"/>
        </w:numPr>
        <w:snapToGrid w:val="0"/>
        <w:spacing w:line="360" w:lineRule="auto"/>
        <w:rPr>
          <w:rFonts w:ascii="Arial" w:hAnsi="Arial"/>
          <w:sz w:val="24"/>
          <w:szCs w:val="20"/>
        </w:rPr>
      </w:pPr>
      <w:r>
        <w:rPr>
          <w:rFonts w:ascii="Arial" w:hAnsi="Arial"/>
          <w:sz w:val="24"/>
          <w:szCs w:val="20"/>
        </w:rPr>
        <w:t>供应商必须对采购人邀请其参加的一个包或多个包内的所有货物和服务以包为单位进行报价，不得将几个包合报一个价格，也不得将一个包中的内容拆开报价。</w:t>
      </w:r>
      <w:bookmarkEnd w:id="194"/>
    </w:p>
    <w:p>
      <w:pPr>
        <w:numPr>
          <w:ilvl w:val="0"/>
          <w:numId w:val="27"/>
        </w:numPr>
        <w:snapToGrid w:val="0"/>
        <w:spacing w:line="360" w:lineRule="auto"/>
        <w:rPr>
          <w:rFonts w:ascii="Arial" w:hAnsi="Arial"/>
          <w:sz w:val="24"/>
          <w:szCs w:val="20"/>
        </w:rPr>
      </w:pPr>
      <w:r>
        <w:rPr>
          <w:rFonts w:ascii="Arial" w:hAnsi="Arial"/>
          <w:sz w:val="24"/>
          <w:szCs w:val="20"/>
        </w:rPr>
        <w:t>供应商应在分项报价表中对每项内容给予详细分项报价</w:t>
      </w:r>
      <w:r>
        <w:rPr>
          <w:rFonts w:hint="eastAsia" w:ascii="Arial" w:hAnsi="Arial"/>
          <w:sz w:val="24"/>
          <w:szCs w:val="20"/>
        </w:rPr>
        <w:t>，</w:t>
      </w:r>
      <w:r>
        <w:rPr>
          <w:rFonts w:ascii="Arial" w:hAnsi="Arial"/>
          <w:sz w:val="24"/>
          <w:szCs w:val="20"/>
        </w:rPr>
        <w:t>在分项报价表上标明拟提供货物和服务的单价和总价</w:t>
      </w:r>
      <w:r>
        <w:rPr>
          <w:rFonts w:hint="eastAsia" w:ascii="Arial" w:hAnsi="Arial"/>
          <w:sz w:val="24"/>
          <w:szCs w:val="20"/>
        </w:rPr>
        <w:t>，由法定代表人或授权代表签署。</w:t>
      </w:r>
    </w:p>
    <w:p>
      <w:pPr>
        <w:numPr>
          <w:ilvl w:val="0"/>
          <w:numId w:val="27"/>
        </w:numPr>
        <w:snapToGrid w:val="0"/>
        <w:spacing w:line="360" w:lineRule="auto"/>
        <w:rPr>
          <w:rFonts w:ascii="Arial" w:hAnsi="Arial"/>
          <w:sz w:val="24"/>
          <w:szCs w:val="20"/>
        </w:rPr>
      </w:pPr>
      <w:r>
        <w:rPr>
          <w:rFonts w:ascii="Arial" w:hAnsi="Arial"/>
          <w:sz w:val="24"/>
          <w:szCs w:val="20"/>
        </w:rPr>
        <w:t>采购货物</w:t>
      </w:r>
      <w:r>
        <w:rPr>
          <w:rFonts w:hint="eastAsia" w:ascii="Arial" w:hAnsi="Arial"/>
          <w:sz w:val="24"/>
          <w:szCs w:val="20"/>
        </w:rPr>
        <w:t>或服务的</w:t>
      </w:r>
      <w:r>
        <w:rPr>
          <w:rFonts w:ascii="Arial" w:hAnsi="Arial"/>
          <w:sz w:val="24"/>
          <w:szCs w:val="20"/>
        </w:rPr>
        <w:t>价格均以</w:t>
      </w:r>
      <w:r>
        <w:rPr>
          <w:rFonts w:hint="eastAsia" w:ascii="Arial" w:hAnsi="Arial"/>
          <w:sz w:val="24"/>
          <w:szCs w:val="20"/>
        </w:rPr>
        <w:t>供应商</w:t>
      </w:r>
      <w:r>
        <w:rPr>
          <w:rFonts w:ascii="Arial" w:hAnsi="Arial"/>
          <w:sz w:val="24"/>
          <w:szCs w:val="20"/>
        </w:rPr>
        <w:t>最终报价为准。</w:t>
      </w:r>
      <w:bookmarkStart w:id="195" w:name="_Toc83547657"/>
      <w:bookmarkStart w:id="196" w:name="_Toc85430438"/>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磋商有效期和</w:t>
      </w:r>
      <w:r>
        <w:rPr>
          <w:rFonts w:ascii="Arial" w:hAnsi="Arial" w:eastAsia="黑体"/>
          <w:sz w:val="24"/>
          <w:szCs w:val="20"/>
        </w:rPr>
        <w:t>磋商保证金</w:t>
      </w:r>
      <w:bookmarkEnd w:id="195"/>
      <w:bookmarkEnd w:id="196"/>
    </w:p>
    <w:p>
      <w:pPr>
        <w:numPr>
          <w:ilvl w:val="0"/>
          <w:numId w:val="28"/>
        </w:numPr>
        <w:snapToGrid w:val="0"/>
        <w:spacing w:line="360" w:lineRule="auto"/>
        <w:rPr>
          <w:rFonts w:ascii="Arial" w:hAnsi="Arial"/>
          <w:sz w:val="24"/>
        </w:rPr>
      </w:pPr>
      <w:r>
        <w:rPr>
          <w:rFonts w:hint="eastAsia" w:ascii="Arial" w:hAnsi="Arial" w:cs="Arial"/>
          <w:sz w:val="24"/>
        </w:rPr>
        <w:t>磋商</w:t>
      </w:r>
      <w:r>
        <w:rPr>
          <w:rFonts w:ascii="Arial" w:hAnsi="Arial" w:cs="Arial"/>
          <w:sz w:val="24"/>
        </w:rPr>
        <w:t>有效期为</w:t>
      </w:r>
      <w:r>
        <w:rPr>
          <w:rFonts w:hint="eastAsia" w:ascii="Arial" w:hAnsi="Arial" w:cs="Arial"/>
          <w:sz w:val="24"/>
        </w:rPr>
        <w:t>自响应文件递交截止日期起</w:t>
      </w:r>
      <w:r>
        <w:rPr>
          <w:rFonts w:ascii="Arial" w:hAnsi="Arial" w:cs="Arial"/>
          <w:sz w:val="24"/>
        </w:rPr>
        <w:t>90天，</w:t>
      </w:r>
      <w:r>
        <w:rPr>
          <w:rFonts w:hint="eastAsia" w:ascii="Arial" w:hAnsi="Arial" w:cs="Arial"/>
          <w:sz w:val="24"/>
        </w:rPr>
        <w:t>磋商</w:t>
      </w:r>
      <w:r>
        <w:rPr>
          <w:rFonts w:ascii="Arial" w:hAnsi="Arial" w:cs="Arial"/>
          <w:sz w:val="24"/>
        </w:rPr>
        <w:t>有效期比90天短的</w:t>
      </w:r>
      <w:r>
        <w:rPr>
          <w:rFonts w:hint="eastAsia" w:ascii="Arial" w:hAnsi="Arial" w:cs="Arial"/>
          <w:sz w:val="24"/>
        </w:rPr>
        <w:t>响应</w:t>
      </w:r>
      <w:r>
        <w:rPr>
          <w:rFonts w:ascii="Arial" w:hAnsi="Arial" w:cs="Arial"/>
          <w:sz w:val="24"/>
        </w:rPr>
        <w:t>文件将被视为非响应而予以拒绝。在特殊情况下，在</w:t>
      </w:r>
      <w:r>
        <w:rPr>
          <w:rFonts w:hint="eastAsia" w:ascii="Arial" w:hAnsi="Arial" w:cs="Arial"/>
          <w:sz w:val="24"/>
        </w:rPr>
        <w:t>磋商</w:t>
      </w:r>
      <w:r>
        <w:rPr>
          <w:rFonts w:ascii="Arial" w:hAnsi="Arial" w:cs="Arial"/>
          <w:sz w:val="24"/>
        </w:rPr>
        <w:t>有效期截止之前，</w:t>
      </w:r>
      <w:r>
        <w:rPr>
          <w:rFonts w:hint="eastAsia" w:ascii="Arial" w:hAnsi="Arial" w:cs="Arial"/>
          <w:sz w:val="24"/>
        </w:rPr>
        <w:t>采购</w:t>
      </w:r>
      <w:r>
        <w:rPr>
          <w:rFonts w:ascii="Arial" w:hAnsi="Arial" w:cs="Arial"/>
          <w:sz w:val="24"/>
        </w:rPr>
        <w:t>代理机构可要求</w:t>
      </w:r>
      <w:r>
        <w:rPr>
          <w:rFonts w:hint="eastAsia" w:ascii="Arial" w:hAnsi="Arial" w:cs="Arial"/>
          <w:sz w:val="24"/>
        </w:rPr>
        <w:t>供应商</w:t>
      </w:r>
      <w:r>
        <w:rPr>
          <w:rFonts w:ascii="Arial" w:hAnsi="Arial" w:cs="Arial"/>
          <w:sz w:val="24"/>
        </w:rPr>
        <w:t>同意延长</w:t>
      </w:r>
      <w:r>
        <w:rPr>
          <w:rFonts w:hint="eastAsia" w:ascii="Arial" w:hAnsi="Arial" w:cs="Arial"/>
          <w:sz w:val="24"/>
        </w:rPr>
        <w:t>磋商</w:t>
      </w:r>
      <w:r>
        <w:rPr>
          <w:rFonts w:ascii="Arial" w:hAnsi="Arial" w:cs="Arial"/>
          <w:sz w:val="24"/>
        </w:rPr>
        <w:t>有效期。这种要求与答复均应以书面形式提交。</w:t>
      </w:r>
      <w:r>
        <w:rPr>
          <w:rFonts w:hint="eastAsia" w:ascii="Arial" w:hAnsi="Arial" w:cs="Arial"/>
          <w:sz w:val="24"/>
        </w:rPr>
        <w:t>供应商</w:t>
      </w:r>
      <w:r>
        <w:rPr>
          <w:rFonts w:ascii="Arial" w:hAnsi="Arial" w:cs="Arial"/>
          <w:sz w:val="24"/>
        </w:rPr>
        <w:t>可拒绝</w:t>
      </w:r>
      <w:r>
        <w:rPr>
          <w:rFonts w:hint="eastAsia" w:ascii="Arial" w:hAnsi="Arial" w:cs="Arial"/>
          <w:sz w:val="24"/>
        </w:rPr>
        <w:t>采购</w:t>
      </w:r>
      <w:r>
        <w:rPr>
          <w:rFonts w:ascii="Arial" w:hAnsi="Arial" w:cs="Arial"/>
          <w:sz w:val="24"/>
        </w:rPr>
        <w:t>代理机构的这种要求，其</w:t>
      </w:r>
      <w:r>
        <w:rPr>
          <w:rFonts w:hint="eastAsia" w:ascii="Arial" w:hAnsi="Arial" w:cs="Arial"/>
          <w:sz w:val="24"/>
        </w:rPr>
        <w:t>磋商</w:t>
      </w:r>
      <w:r>
        <w:rPr>
          <w:rFonts w:ascii="Arial" w:hAnsi="Arial" w:cs="Arial"/>
          <w:sz w:val="24"/>
        </w:rPr>
        <w:t>保证金将予退还。在这种情况下，本须知内有关</w:t>
      </w:r>
      <w:r>
        <w:rPr>
          <w:rFonts w:hint="eastAsia" w:ascii="Arial" w:hAnsi="Arial" w:cs="Arial"/>
          <w:sz w:val="24"/>
        </w:rPr>
        <w:t>磋商</w:t>
      </w:r>
      <w:r>
        <w:rPr>
          <w:rFonts w:ascii="Arial" w:hAnsi="Arial" w:cs="Arial"/>
          <w:sz w:val="24"/>
        </w:rPr>
        <w:t>保证金的退还和不予退还的规定将在延长了的有效期内继续有效。</w:t>
      </w:r>
    </w:p>
    <w:p>
      <w:pPr>
        <w:numPr>
          <w:ilvl w:val="0"/>
          <w:numId w:val="28"/>
        </w:numPr>
        <w:snapToGrid w:val="0"/>
        <w:spacing w:line="360" w:lineRule="auto"/>
        <w:rPr>
          <w:rFonts w:ascii="Arial" w:hAnsi="Arial"/>
          <w:sz w:val="24"/>
        </w:rPr>
      </w:pPr>
      <w:r>
        <w:rPr>
          <w:rFonts w:hint="eastAsia" w:ascii="Arial" w:hAnsi="Arial" w:cs="Arial"/>
          <w:sz w:val="24"/>
        </w:rPr>
        <w:t>磋商</w:t>
      </w:r>
      <w:r>
        <w:rPr>
          <w:rFonts w:ascii="Arial" w:hAnsi="Arial" w:cs="Arial"/>
          <w:sz w:val="24"/>
        </w:rPr>
        <w:t>保证金应作为</w:t>
      </w:r>
      <w:r>
        <w:rPr>
          <w:rFonts w:hint="eastAsia" w:ascii="Arial" w:hAnsi="Arial" w:cs="Arial"/>
          <w:sz w:val="24"/>
        </w:rPr>
        <w:t>响应</w:t>
      </w:r>
      <w:r>
        <w:rPr>
          <w:rFonts w:ascii="Arial" w:hAnsi="Arial" w:cs="Arial"/>
          <w:sz w:val="24"/>
        </w:rPr>
        <w:t>文件的一部分，</w:t>
      </w:r>
      <w:r>
        <w:rPr>
          <w:rFonts w:hint="eastAsia" w:ascii="Arial" w:hAnsi="Arial" w:cs="Arial"/>
          <w:sz w:val="24"/>
        </w:rPr>
        <w:t>磋商保证金</w:t>
      </w:r>
      <w:r>
        <w:rPr>
          <w:rFonts w:ascii="Arial" w:hAnsi="Arial" w:cs="Arial"/>
          <w:sz w:val="24"/>
        </w:rPr>
        <w:t>有效期</w:t>
      </w:r>
      <w:r>
        <w:rPr>
          <w:rFonts w:hint="eastAsia" w:ascii="Arial" w:hAnsi="Arial" w:cs="Arial"/>
          <w:sz w:val="24"/>
        </w:rPr>
        <w:t>与磋商有效期一致</w:t>
      </w:r>
      <w:r>
        <w:rPr>
          <w:rFonts w:ascii="Arial" w:hAnsi="Arial" w:cs="Arial"/>
          <w:sz w:val="24"/>
        </w:rPr>
        <w:t>。</w:t>
      </w:r>
      <w:r>
        <w:rPr>
          <w:rFonts w:hint="eastAsia" w:ascii="Arial" w:hAnsi="Arial" w:cs="Arial"/>
          <w:sz w:val="24"/>
        </w:rPr>
        <w:t>供应商</w:t>
      </w:r>
      <w:r>
        <w:rPr>
          <w:rFonts w:ascii="Arial" w:hAnsi="Arial" w:cs="Arial"/>
          <w:sz w:val="24"/>
        </w:rPr>
        <w:t>需同时提供退款银行详细信息。</w:t>
      </w:r>
      <w:r>
        <w:rPr>
          <w:rFonts w:hint="eastAsia" w:ascii="Arial" w:hAnsi="Arial" w:cs="Arial"/>
          <w:sz w:val="24"/>
        </w:rPr>
        <w:t>磋商</w:t>
      </w:r>
      <w:r>
        <w:rPr>
          <w:rFonts w:ascii="Arial" w:hAnsi="Arial" w:cs="Arial"/>
          <w:sz w:val="24"/>
        </w:rPr>
        <w:t>保证金的金额</w:t>
      </w:r>
      <w:r>
        <w:rPr>
          <w:rFonts w:hint="eastAsia" w:ascii="Arial" w:hAnsi="Arial" w:cs="Arial"/>
          <w:sz w:val="24"/>
        </w:rPr>
        <w:t>应满足</w:t>
      </w:r>
      <w:r>
        <w:rPr>
          <w:rFonts w:hint="eastAsia" w:ascii="黑体" w:hAnsi="宋体" w:eastAsia="黑体"/>
          <w:sz w:val="24"/>
        </w:rPr>
        <w:t>磋商资料表</w:t>
      </w:r>
      <w:r>
        <w:rPr>
          <w:rFonts w:hint="eastAsia" w:ascii="黑体" w:hAnsi="宋体" w:eastAsia="黑体"/>
          <w:sz w:val="24"/>
          <w:u w:val="single"/>
        </w:rPr>
        <w:t>第9条</w:t>
      </w:r>
      <w:r>
        <w:rPr>
          <w:rFonts w:hint="eastAsia" w:ascii="Arial" w:hAnsi="Arial" w:cs="Arial"/>
          <w:sz w:val="24"/>
        </w:rPr>
        <w:t>规定的标准</w:t>
      </w:r>
      <w:r>
        <w:rPr>
          <w:rFonts w:ascii="Arial" w:hAnsi="Arial" w:cs="Arial"/>
          <w:sz w:val="24"/>
        </w:rPr>
        <w:t>。</w:t>
      </w:r>
    </w:p>
    <w:p>
      <w:pPr>
        <w:numPr>
          <w:ilvl w:val="0"/>
          <w:numId w:val="28"/>
        </w:numPr>
        <w:snapToGrid w:val="0"/>
        <w:spacing w:line="360" w:lineRule="auto"/>
        <w:rPr>
          <w:rFonts w:ascii="Arial" w:hAnsi="Arial"/>
          <w:sz w:val="24"/>
        </w:rPr>
      </w:pPr>
      <w:r>
        <w:rPr>
          <w:rFonts w:hint="eastAsia" w:ascii="Arial" w:hAnsi="Arial"/>
          <w:sz w:val="24"/>
        </w:rPr>
        <w:t>磋商</w:t>
      </w:r>
      <w:r>
        <w:rPr>
          <w:rFonts w:ascii="Arial" w:hAnsi="Arial"/>
          <w:sz w:val="24"/>
        </w:rPr>
        <w:t>保证金提交方式应为电汇</w:t>
      </w:r>
      <w:r>
        <w:rPr>
          <w:rFonts w:hint="eastAsia" w:ascii="Arial" w:hAnsi="Arial" w:cs="Arial"/>
          <w:sz w:val="24"/>
        </w:rPr>
        <w:t>，</w:t>
      </w:r>
      <w:r>
        <w:rPr>
          <w:rFonts w:ascii="Arial" w:hAnsi="Arial" w:cs="Arial"/>
          <w:sz w:val="24"/>
        </w:rPr>
        <w:t>必须保证在</w:t>
      </w:r>
      <w:r>
        <w:rPr>
          <w:rFonts w:hint="eastAsia" w:ascii="Arial" w:hAnsi="Arial" w:cs="Arial"/>
          <w:sz w:val="24"/>
        </w:rPr>
        <w:t>磋商</w:t>
      </w:r>
      <w:r>
        <w:rPr>
          <w:rFonts w:ascii="Arial" w:hAnsi="Arial" w:cs="Arial"/>
          <w:sz w:val="24"/>
        </w:rPr>
        <w:t>前将足额保证金汇到</w:t>
      </w:r>
      <w:r>
        <w:rPr>
          <w:rFonts w:hint="eastAsia" w:ascii="Arial" w:hAnsi="Arial" w:cs="Arial"/>
          <w:sz w:val="24"/>
        </w:rPr>
        <w:t>采购</w:t>
      </w:r>
      <w:r>
        <w:rPr>
          <w:rFonts w:ascii="Arial" w:hAnsi="Arial" w:cs="Arial"/>
          <w:sz w:val="24"/>
        </w:rPr>
        <w:t>代理机构账户，并在</w:t>
      </w:r>
      <w:r>
        <w:rPr>
          <w:rFonts w:hint="eastAsia" w:ascii="Arial" w:hAnsi="Arial" w:cs="Arial"/>
          <w:sz w:val="24"/>
        </w:rPr>
        <w:t>磋商</w:t>
      </w:r>
      <w:r>
        <w:rPr>
          <w:rFonts w:ascii="Arial" w:hAnsi="Arial" w:cs="Arial"/>
          <w:sz w:val="24"/>
        </w:rPr>
        <w:t>时递交电汇底单复印件加盖</w:t>
      </w:r>
      <w:r>
        <w:rPr>
          <w:rFonts w:hint="eastAsia" w:ascii="Arial" w:hAnsi="Arial" w:cs="Arial"/>
          <w:sz w:val="24"/>
        </w:rPr>
        <w:t>供应商</w:t>
      </w:r>
      <w:r>
        <w:rPr>
          <w:rFonts w:ascii="Arial" w:hAnsi="Arial" w:cs="Arial"/>
          <w:sz w:val="24"/>
        </w:rPr>
        <w:t>公章以证明</w:t>
      </w:r>
      <w:r>
        <w:rPr>
          <w:rFonts w:hint="eastAsia" w:ascii="Arial" w:hAnsi="Arial" w:cs="Arial"/>
          <w:sz w:val="24"/>
        </w:rPr>
        <w:t>磋商</w:t>
      </w:r>
      <w:r>
        <w:rPr>
          <w:rFonts w:ascii="Arial" w:hAnsi="Arial" w:cs="Arial"/>
          <w:sz w:val="24"/>
        </w:rPr>
        <w:t>保证金缴纳情况，否则将被视为</w:t>
      </w:r>
      <w:r>
        <w:rPr>
          <w:rFonts w:hint="eastAsia" w:ascii="Arial" w:hAnsi="Arial" w:cs="Arial"/>
          <w:sz w:val="24"/>
        </w:rPr>
        <w:t>供应商</w:t>
      </w:r>
      <w:r>
        <w:rPr>
          <w:rFonts w:ascii="Arial" w:hAnsi="Arial" w:cs="Arial"/>
          <w:sz w:val="24"/>
        </w:rPr>
        <w:t>未提供</w:t>
      </w:r>
      <w:r>
        <w:rPr>
          <w:rFonts w:hint="eastAsia" w:ascii="Arial" w:hAnsi="Arial" w:cs="Arial"/>
          <w:sz w:val="24"/>
        </w:rPr>
        <w:t>磋商</w:t>
      </w:r>
      <w:r>
        <w:rPr>
          <w:rFonts w:ascii="Arial" w:hAnsi="Arial" w:cs="Arial"/>
          <w:sz w:val="24"/>
        </w:rPr>
        <w:t>保证金。</w:t>
      </w:r>
    </w:p>
    <w:p>
      <w:pPr>
        <w:snapToGrid w:val="0"/>
        <w:spacing w:line="360" w:lineRule="auto"/>
        <w:ind w:left="567"/>
        <w:rPr>
          <w:rFonts w:ascii="Arial" w:hAnsi="Arial" w:cs="Arial"/>
          <w:sz w:val="24"/>
        </w:rPr>
      </w:pPr>
      <w:r>
        <w:rPr>
          <w:rFonts w:hint="eastAsia" w:ascii="Arial" w:hAnsi="Arial" w:cs="Arial"/>
          <w:sz w:val="24"/>
        </w:rPr>
        <w:t>供应商须</w:t>
      </w:r>
      <w:r>
        <w:rPr>
          <w:rFonts w:ascii="Arial" w:hAnsi="Arial" w:cs="Arial"/>
          <w:sz w:val="24"/>
        </w:rPr>
        <w:t>以单位名义，按照电汇方式汇至如下账号</w:t>
      </w:r>
      <w:r>
        <w:rPr>
          <w:rFonts w:hint="eastAsia" w:ascii="Arial" w:hAnsi="Arial" w:cs="Arial"/>
          <w:sz w:val="24"/>
        </w:rPr>
        <w:t>，采购代理机构</w:t>
      </w:r>
      <w:r>
        <w:rPr>
          <w:rFonts w:ascii="Arial" w:hAnsi="Arial" w:cs="Arial"/>
          <w:sz w:val="24"/>
        </w:rPr>
        <w:t>不接受</w:t>
      </w:r>
      <w:r>
        <w:rPr>
          <w:rFonts w:hint="eastAsia" w:ascii="Arial" w:hAnsi="Arial" w:cs="Arial"/>
          <w:sz w:val="24"/>
        </w:rPr>
        <w:t>供应商以外的其他单位或</w:t>
      </w:r>
      <w:r>
        <w:rPr>
          <w:rFonts w:ascii="Arial" w:hAnsi="Arial" w:cs="Arial"/>
          <w:sz w:val="24"/>
        </w:rPr>
        <w:t>个人</w:t>
      </w:r>
      <w:r>
        <w:rPr>
          <w:rFonts w:hint="eastAsia" w:ascii="Arial" w:hAnsi="Arial" w:cs="Arial"/>
          <w:sz w:val="24"/>
        </w:rPr>
        <w:t>代交</w:t>
      </w:r>
      <w:r>
        <w:rPr>
          <w:rFonts w:ascii="Arial" w:hAnsi="Arial" w:cs="Arial"/>
          <w:sz w:val="24"/>
        </w:rPr>
        <w:t>的</w:t>
      </w:r>
      <w:r>
        <w:rPr>
          <w:rFonts w:hint="eastAsia" w:ascii="Arial" w:hAnsi="Arial" w:cs="Arial"/>
          <w:sz w:val="24"/>
        </w:rPr>
        <w:t>谈判</w:t>
      </w:r>
      <w:r>
        <w:rPr>
          <w:rFonts w:ascii="Arial" w:hAnsi="Arial" w:cs="Arial"/>
          <w:sz w:val="24"/>
        </w:rPr>
        <w:t>保证金。</w:t>
      </w:r>
    </w:p>
    <w:p>
      <w:pPr>
        <w:snapToGrid w:val="0"/>
        <w:spacing w:line="360" w:lineRule="auto"/>
        <w:ind w:left="567"/>
        <w:rPr>
          <w:rFonts w:ascii="Arial" w:hAnsi="Arial"/>
          <w:sz w:val="24"/>
        </w:rPr>
      </w:pPr>
      <w:r>
        <w:rPr>
          <w:rFonts w:hint="eastAsia" w:ascii="Arial" w:hAnsi="Arial" w:cs="Arial"/>
          <w:sz w:val="24"/>
        </w:rPr>
        <w:t>采购</w:t>
      </w:r>
      <w:r>
        <w:rPr>
          <w:rFonts w:ascii="Arial" w:hAnsi="Arial" w:cs="Arial"/>
          <w:sz w:val="24"/>
        </w:rPr>
        <w:t>代理机构人民币账户资料：</w:t>
      </w:r>
    </w:p>
    <w:p>
      <w:pPr>
        <w:adjustRightInd w:val="0"/>
        <w:snapToGrid w:val="0"/>
        <w:spacing w:line="360" w:lineRule="auto"/>
        <w:ind w:left="567"/>
        <w:rPr>
          <w:rFonts w:ascii="Arial" w:hAnsi="Arial" w:cs="Arial"/>
          <w:b/>
          <w:sz w:val="24"/>
          <w:szCs w:val="20"/>
        </w:rPr>
      </w:pPr>
      <w:r>
        <w:rPr>
          <w:rFonts w:hint="eastAsia" w:ascii="Arial" w:hAnsi="Arial" w:cs="Arial"/>
          <w:b/>
          <w:sz w:val="24"/>
          <w:szCs w:val="20"/>
        </w:rPr>
        <w:t>获取注册系统内产生的虚拟账号，交付磋商保证金使用</w:t>
      </w:r>
    </w:p>
    <w:p>
      <w:pPr>
        <w:numPr>
          <w:ilvl w:val="1"/>
          <w:numId w:val="29"/>
        </w:numPr>
        <w:snapToGrid w:val="0"/>
        <w:spacing w:line="360" w:lineRule="auto"/>
        <w:rPr>
          <w:rFonts w:ascii="Arial" w:hAnsi="Arial"/>
          <w:sz w:val="24"/>
          <w:szCs w:val="20"/>
        </w:rPr>
      </w:pPr>
      <w:r>
        <w:rPr>
          <w:rFonts w:ascii="Arial" w:hAnsi="Arial" w:cs="Arial"/>
          <w:sz w:val="24"/>
          <w:szCs w:val="20"/>
        </w:rPr>
        <w:t>注：为便于</w:t>
      </w:r>
      <w:r>
        <w:rPr>
          <w:rFonts w:hint="eastAsia" w:ascii="Arial" w:hAnsi="Arial" w:cs="Arial"/>
          <w:sz w:val="24"/>
          <w:szCs w:val="20"/>
        </w:rPr>
        <w:t>采购</w:t>
      </w:r>
      <w:r>
        <w:rPr>
          <w:rFonts w:ascii="Arial" w:hAnsi="Arial" w:cs="Arial"/>
          <w:sz w:val="24"/>
          <w:szCs w:val="20"/>
        </w:rPr>
        <w:t>代理机构及时准确地核实</w:t>
      </w:r>
      <w:r>
        <w:rPr>
          <w:rFonts w:hint="eastAsia" w:ascii="Arial" w:hAnsi="Arial" w:cs="Arial"/>
          <w:sz w:val="24"/>
          <w:szCs w:val="20"/>
        </w:rPr>
        <w:t>供应商</w:t>
      </w:r>
      <w:r>
        <w:rPr>
          <w:rFonts w:ascii="Arial" w:hAnsi="Arial" w:cs="Arial"/>
          <w:sz w:val="24"/>
          <w:szCs w:val="20"/>
        </w:rPr>
        <w:t>的保证金是否到账，</w:t>
      </w:r>
      <w:r>
        <w:rPr>
          <w:rFonts w:hint="eastAsia" w:ascii="Arial" w:hAnsi="Arial" w:cs="Arial"/>
          <w:sz w:val="24"/>
          <w:szCs w:val="20"/>
        </w:rPr>
        <w:t>供应商</w:t>
      </w:r>
      <w:r>
        <w:rPr>
          <w:rFonts w:ascii="Arial" w:hAnsi="Arial" w:cs="Arial"/>
          <w:sz w:val="24"/>
          <w:szCs w:val="20"/>
        </w:rPr>
        <w:t>应在电汇汇款附言里注明：</w:t>
      </w:r>
      <w:r>
        <w:rPr>
          <w:rFonts w:hint="eastAsia" w:ascii="Arial" w:hAnsi="Arial" w:cs="Arial"/>
          <w:sz w:val="24"/>
          <w:szCs w:val="20"/>
        </w:rPr>
        <w:t>项目</w:t>
      </w:r>
      <w:r>
        <w:rPr>
          <w:rFonts w:ascii="Arial" w:hAnsi="Arial" w:cs="Arial"/>
          <w:sz w:val="24"/>
          <w:szCs w:val="20"/>
        </w:rPr>
        <w:t>编号（包号）后四位和用途。如“</w:t>
      </w:r>
      <w:r>
        <w:rPr>
          <w:rFonts w:hint="eastAsia" w:ascii="Arial" w:hAnsi="Arial" w:cs="Arial"/>
          <w:sz w:val="24"/>
          <w:szCs w:val="20"/>
        </w:rPr>
        <w:t>xxxx磋商</w:t>
      </w:r>
      <w:r>
        <w:rPr>
          <w:rFonts w:ascii="Arial" w:hAnsi="Arial" w:cs="Arial"/>
          <w:sz w:val="24"/>
          <w:szCs w:val="20"/>
        </w:rPr>
        <w:t>保证金”。</w:t>
      </w:r>
    </w:p>
    <w:p>
      <w:pPr>
        <w:numPr>
          <w:ilvl w:val="0"/>
          <w:numId w:val="28"/>
        </w:numPr>
        <w:snapToGrid w:val="0"/>
        <w:spacing w:line="360" w:lineRule="auto"/>
        <w:rPr>
          <w:rFonts w:ascii="Arial" w:hAnsi="Arial"/>
          <w:sz w:val="24"/>
        </w:rPr>
      </w:pPr>
      <w:r>
        <w:rPr>
          <w:rFonts w:ascii="Arial" w:hAnsi="Arial" w:cs="Arial"/>
          <w:sz w:val="24"/>
        </w:rPr>
        <w:t>凡没有根据上述规定</w:t>
      </w:r>
      <w:r>
        <w:rPr>
          <w:rFonts w:hint="eastAsia" w:ascii="Arial" w:hAnsi="Arial" w:cs="Arial"/>
          <w:sz w:val="24"/>
        </w:rPr>
        <w:t>提交磋商</w:t>
      </w:r>
      <w:r>
        <w:rPr>
          <w:rFonts w:ascii="Arial" w:hAnsi="Arial" w:cs="Arial"/>
          <w:sz w:val="24"/>
        </w:rPr>
        <w:t>保证金的</w:t>
      </w:r>
      <w:r>
        <w:rPr>
          <w:rFonts w:hint="eastAsia" w:ascii="Arial" w:hAnsi="Arial" w:cs="Arial"/>
          <w:sz w:val="24"/>
        </w:rPr>
        <w:t>响应将被视为无效响应</w:t>
      </w:r>
      <w:r>
        <w:rPr>
          <w:rFonts w:ascii="Arial" w:hAnsi="Arial" w:cs="Arial"/>
          <w:sz w:val="24"/>
        </w:rPr>
        <w:t>。</w:t>
      </w:r>
    </w:p>
    <w:p>
      <w:pPr>
        <w:numPr>
          <w:ilvl w:val="0"/>
          <w:numId w:val="28"/>
        </w:numPr>
        <w:snapToGrid w:val="0"/>
        <w:spacing w:line="360" w:lineRule="auto"/>
        <w:rPr>
          <w:rFonts w:ascii="Arial" w:hAnsi="Arial"/>
          <w:sz w:val="24"/>
        </w:rPr>
      </w:pPr>
      <w:r>
        <w:rPr>
          <w:rFonts w:ascii="Arial" w:hAnsi="Arial"/>
          <w:sz w:val="24"/>
        </w:rPr>
        <w:t>磋商保证金是为了保护采购人和采购代理机构免遭因供应商的</w:t>
      </w:r>
      <w:r>
        <w:rPr>
          <w:rFonts w:hint="eastAsia" w:ascii="Arial" w:hAnsi="Arial"/>
          <w:sz w:val="24"/>
        </w:rPr>
        <w:t>不当</w:t>
      </w:r>
      <w:r>
        <w:rPr>
          <w:rFonts w:ascii="Arial" w:hAnsi="Arial"/>
          <w:sz w:val="24"/>
        </w:rPr>
        <w:t>行为而蒙受损失。</w:t>
      </w:r>
      <w:r>
        <w:rPr>
          <w:rFonts w:ascii="Arial" w:hAnsi="Arial" w:cs="Arial"/>
          <w:sz w:val="24"/>
        </w:rPr>
        <w:t>下列任何情况发生时，</w:t>
      </w:r>
      <w:r>
        <w:rPr>
          <w:rFonts w:hint="eastAsia" w:ascii="Arial" w:hAnsi="Arial" w:cs="Arial"/>
          <w:sz w:val="24"/>
        </w:rPr>
        <w:t>磋商</w:t>
      </w:r>
      <w:r>
        <w:rPr>
          <w:rFonts w:ascii="Arial" w:hAnsi="Arial" w:cs="Arial"/>
          <w:sz w:val="24"/>
        </w:rPr>
        <w:t>保证金将不予退还给</w:t>
      </w:r>
      <w:r>
        <w:rPr>
          <w:rFonts w:hint="eastAsia" w:ascii="Arial" w:hAnsi="Arial" w:cs="Arial"/>
          <w:sz w:val="24"/>
        </w:rPr>
        <w:t>供应商</w:t>
      </w:r>
      <w:r>
        <w:rPr>
          <w:rFonts w:ascii="Arial" w:hAnsi="Arial" w:cs="Arial"/>
          <w:sz w:val="24"/>
        </w:rPr>
        <w:t>：</w:t>
      </w:r>
    </w:p>
    <w:p>
      <w:pPr>
        <w:numPr>
          <w:ilvl w:val="2"/>
          <w:numId w:val="25"/>
        </w:numPr>
        <w:adjustRightInd w:val="0"/>
        <w:snapToGrid w:val="0"/>
        <w:spacing w:line="360" w:lineRule="auto"/>
        <w:rPr>
          <w:rFonts w:ascii="Arial" w:hAnsi="Arial" w:cs="Arial"/>
          <w:sz w:val="24"/>
        </w:rPr>
      </w:pPr>
      <w:r>
        <w:rPr>
          <w:rFonts w:hint="eastAsia" w:ascii="Arial" w:hAnsi="Arial" w:cs="Arial"/>
          <w:sz w:val="24"/>
        </w:rPr>
        <w:t>供应商在提交响应文件截止时间后撤回响应文件的；</w:t>
      </w:r>
    </w:p>
    <w:p>
      <w:pPr>
        <w:numPr>
          <w:ilvl w:val="2"/>
          <w:numId w:val="25"/>
        </w:numPr>
        <w:adjustRightInd w:val="0"/>
        <w:snapToGrid w:val="0"/>
        <w:spacing w:line="360" w:lineRule="auto"/>
        <w:rPr>
          <w:rFonts w:ascii="Arial" w:hAnsi="Arial" w:cs="Arial"/>
          <w:sz w:val="24"/>
        </w:rPr>
      </w:pPr>
      <w:r>
        <w:rPr>
          <w:rFonts w:hint="eastAsia" w:ascii="Arial" w:hAnsi="Arial" w:cs="Arial"/>
          <w:sz w:val="24"/>
        </w:rPr>
        <w:t>供应商在响应文件中提供虚假材料的；</w:t>
      </w:r>
    </w:p>
    <w:p>
      <w:pPr>
        <w:numPr>
          <w:ilvl w:val="2"/>
          <w:numId w:val="25"/>
        </w:numPr>
        <w:adjustRightInd w:val="0"/>
        <w:snapToGrid w:val="0"/>
        <w:spacing w:line="360" w:lineRule="auto"/>
        <w:rPr>
          <w:rFonts w:ascii="Arial" w:hAnsi="Arial" w:cs="Arial"/>
          <w:sz w:val="24"/>
        </w:rPr>
      </w:pPr>
      <w:r>
        <w:rPr>
          <w:rFonts w:hint="eastAsia" w:ascii="Arial" w:hAnsi="Arial" w:cs="Arial"/>
          <w:sz w:val="24"/>
        </w:rPr>
        <w:t>除因不可抗力或磋商文件认可的情形以外，成交供应商不与采购人签订合同的；</w:t>
      </w:r>
    </w:p>
    <w:p>
      <w:pPr>
        <w:numPr>
          <w:ilvl w:val="2"/>
          <w:numId w:val="25"/>
        </w:numPr>
        <w:adjustRightInd w:val="0"/>
        <w:snapToGrid w:val="0"/>
        <w:spacing w:line="360" w:lineRule="auto"/>
        <w:rPr>
          <w:rFonts w:ascii="Arial" w:hAnsi="Arial" w:cs="Arial"/>
          <w:sz w:val="24"/>
        </w:rPr>
      </w:pPr>
      <w:r>
        <w:rPr>
          <w:rFonts w:hint="eastAsia" w:ascii="Arial" w:hAnsi="Arial" w:cs="Arial"/>
          <w:sz w:val="24"/>
        </w:rPr>
        <w:t>供应商与采购人、其他供应商或者采购代理机构恶意串通的；</w:t>
      </w:r>
    </w:p>
    <w:p>
      <w:pPr>
        <w:numPr>
          <w:ilvl w:val="2"/>
          <w:numId w:val="25"/>
        </w:numPr>
        <w:adjustRightInd w:val="0"/>
        <w:snapToGrid w:val="0"/>
        <w:spacing w:line="360" w:lineRule="auto"/>
        <w:rPr>
          <w:rFonts w:ascii="Arial" w:hAnsi="Arial" w:cs="Arial"/>
          <w:sz w:val="24"/>
        </w:rPr>
      </w:pPr>
      <w:r>
        <w:rPr>
          <w:rFonts w:hint="eastAsia" w:ascii="Arial" w:hAnsi="Arial" w:cs="Arial"/>
          <w:sz w:val="24"/>
        </w:rPr>
        <w:t>成交供应商</w:t>
      </w:r>
      <w:r>
        <w:rPr>
          <w:rFonts w:ascii="Arial" w:hAnsi="Arial" w:cs="Arial"/>
          <w:sz w:val="24"/>
        </w:rPr>
        <w:t>未按照本</w:t>
      </w:r>
      <w:r>
        <w:rPr>
          <w:rFonts w:hint="eastAsia" w:ascii="Arial" w:hAnsi="Arial" w:cs="Arial"/>
          <w:sz w:val="24"/>
        </w:rPr>
        <w:t>供应商</w:t>
      </w:r>
      <w:r>
        <w:rPr>
          <w:rFonts w:ascii="Arial" w:hAnsi="Arial" w:cs="Arial"/>
          <w:sz w:val="24"/>
        </w:rPr>
        <w:t>须知第2</w:t>
      </w:r>
      <w:r>
        <w:rPr>
          <w:rFonts w:hint="eastAsia" w:ascii="Arial" w:hAnsi="Arial" w:cs="Arial"/>
          <w:sz w:val="24"/>
        </w:rPr>
        <w:t>5</w:t>
      </w:r>
      <w:r>
        <w:rPr>
          <w:rFonts w:ascii="Arial" w:hAnsi="Arial" w:cs="Arial"/>
          <w:sz w:val="24"/>
        </w:rPr>
        <w:t>款之规定提交履约保证金</w:t>
      </w:r>
      <w:r>
        <w:rPr>
          <w:rFonts w:hint="eastAsia" w:ascii="Arial" w:hAnsi="Arial" w:cs="Arial"/>
          <w:sz w:val="24"/>
        </w:rPr>
        <w:t>（如需要）</w:t>
      </w:r>
      <w:r>
        <w:rPr>
          <w:rFonts w:ascii="Arial" w:hAnsi="Arial" w:cs="Arial"/>
          <w:sz w:val="24"/>
        </w:rPr>
        <w:t>；</w:t>
      </w:r>
    </w:p>
    <w:p>
      <w:pPr>
        <w:numPr>
          <w:ilvl w:val="2"/>
          <w:numId w:val="25"/>
        </w:numPr>
        <w:adjustRightInd w:val="0"/>
        <w:snapToGrid w:val="0"/>
        <w:spacing w:line="360" w:lineRule="auto"/>
        <w:rPr>
          <w:rFonts w:ascii="Arial" w:hAnsi="Arial" w:cs="Arial"/>
          <w:sz w:val="24"/>
        </w:rPr>
      </w:pPr>
      <w:r>
        <w:rPr>
          <w:rFonts w:hint="eastAsia" w:ascii="Arial" w:hAnsi="Arial" w:cs="Arial"/>
          <w:sz w:val="24"/>
        </w:rPr>
        <w:t>成交供应商</w:t>
      </w:r>
      <w:r>
        <w:rPr>
          <w:rFonts w:ascii="Arial" w:hAnsi="Arial" w:cs="Arial"/>
          <w:sz w:val="24"/>
        </w:rPr>
        <w:t>未按照本</w:t>
      </w:r>
      <w:r>
        <w:rPr>
          <w:rFonts w:hint="eastAsia" w:ascii="Arial" w:hAnsi="Arial" w:cs="Arial"/>
          <w:sz w:val="24"/>
        </w:rPr>
        <w:t>供应商</w:t>
      </w:r>
      <w:r>
        <w:rPr>
          <w:rFonts w:ascii="Arial" w:hAnsi="Arial" w:cs="Arial"/>
          <w:sz w:val="24"/>
        </w:rPr>
        <w:t>须知第2</w:t>
      </w:r>
      <w:r>
        <w:rPr>
          <w:rFonts w:hint="eastAsia" w:ascii="Arial" w:hAnsi="Arial" w:cs="Arial"/>
          <w:sz w:val="24"/>
        </w:rPr>
        <w:t>4</w:t>
      </w:r>
      <w:r>
        <w:rPr>
          <w:rFonts w:ascii="Arial" w:hAnsi="Arial" w:cs="Arial"/>
          <w:sz w:val="24"/>
        </w:rPr>
        <w:t>款之规定提交</w:t>
      </w:r>
      <w:r>
        <w:rPr>
          <w:rFonts w:hint="eastAsia" w:ascii="Arial" w:hAnsi="Arial" w:cs="Arial"/>
          <w:sz w:val="24"/>
        </w:rPr>
        <w:t>代理</w:t>
      </w:r>
      <w:r>
        <w:rPr>
          <w:rFonts w:ascii="Arial" w:hAnsi="Arial" w:cs="Arial"/>
          <w:sz w:val="24"/>
        </w:rPr>
        <w:t>服务费。</w:t>
      </w:r>
    </w:p>
    <w:p>
      <w:pPr>
        <w:numPr>
          <w:ilvl w:val="0"/>
          <w:numId w:val="28"/>
        </w:numPr>
        <w:snapToGrid w:val="0"/>
        <w:spacing w:line="360" w:lineRule="auto"/>
        <w:rPr>
          <w:rFonts w:ascii="Arial" w:hAnsi="Arial"/>
          <w:sz w:val="24"/>
        </w:rPr>
      </w:pPr>
      <w:r>
        <w:rPr>
          <w:rFonts w:ascii="Arial" w:hAnsi="Arial"/>
          <w:sz w:val="24"/>
        </w:rPr>
        <w:t>未成交供应商的磋商保证金，采购代理机构</w:t>
      </w:r>
      <w:r>
        <w:rPr>
          <w:rFonts w:hint="eastAsia" w:ascii="Arial" w:hAnsi="Arial"/>
          <w:sz w:val="24"/>
        </w:rPr>
        <w:t>将在成交通知书发出</w:t>
      </w:r>
      <w:r>
        <w:rPr>
          <w:rFonts w:ascii="Arial" w:hAnsi="Arial"/>
          <w:sz w:val="24"/>
        </w:rPr>
        <w:t>后五个工作日内予以退还。成交供应商的磋商保证金，在</w:t>
      </w:r>
      <w:r>
        <w:rPr>
          <w:rFonts w:hint="eastAsia" w:ascii="Arial" w:hAnsi="Arial"/>
          <w:sz w:val="24"/>
        </w:rPr>
        <w:t>采购</w:t>
      </w:r>
      <w:r>
        <w:rPr>
          <w:rFonts w:ascii="Arial" w:hAnsi="Arial"/>
          <w:sz w:val="24"/>
        </w:rPr>
        <w:t>合同签订后五个工作日内退还。</w:t>
      </w:r>
    </w:p>
    <w:p>
      <w:pPr>
        <w:snapToGrid w:val="0"/>
        <w:spacing w:line="360" w:lineRule="auto"/>
        <w:outlineLvl w:val="0"/>
        <w:rPr>
          <w:rFonts w:ascii="Arial" w:hAnsi="Arial" w:eastAsia="黑体"/>
          <w:sz w:val="24"/>
          <w:szCs w:val="20"/>
        </w:rPr>
      </w:pPr>
      <w:bookmarkStart w:id="197" w:name="_Toc85186250"/>
      <w:bookmarkStart w:id="198" w:name="_Toc5957169"/>
      <w:bookmarkStart w:id="199" w:name="_Toc389142112"/>
      <w:bookmarkStart w:id="200" w:name="_Toc85186134"/>
      <w:bookmarkStart w:id="201" w:name="_Toc85430441"/>
      <w:bookmarkStart w:id="202" w:name="_Toc235856990"/>
      <w:bookmarkStart w:id="203" w:name="_Toc83547660"/>
      <w:bookmarkStart w:id="204" w:name="_Toc48061813"/>
      <w:bookmarkStart w:id="205" w:name="_Toc57032381"/>
      <w:bookmarkStart w:id="206" w:name="_Toc27475558"/>
      <w:bookmarkStart w:id="207" w:name="_Toc92357011"/>
      <w:bookmarkStart w:id="208" w:name="_Toc92965928"/>
      <w:r>
        <w:rPr>
          <w:rFonts w:ascii="Arial" w:hAnsi="Arial" w:eastAsia="黑体"/>
          <w:sz w:val="24"/>
          <w:szCs w:val="20"/>
        </w:rPr>
        <w:t>四、《响应文件》的递交</w:t>
      </w:r>
      <w:bookmarkEnd w:id="197"/>
      <w:bookmarkEnd w:id="198"/>
      <w:bookmarkEnd w:id="199"/>
      <w:bookmarkEnd w:id="200"/>
      <w:bookmarkEnd w:id="201"/>
      <w:bookmarkEnd w:id="202"/>
      <w:bookmarkEnd w:id="203"/>
      <w:bookmarkEnd w:id="204"/>
      <w:bookmarkEnd w:id="205"/>
      <w:bookmarkEnd w:id="206"/>
      <w:bookmarkEnd w:id="207"/>
      <w:bookmarkEnd w:id="208"/>
    </w:p>
    <w:p>
      <w:pPr>
        <w:numPr>
          <w:ilvl w:val="0"/>
          <w:numId w:val="14"/>
        </w:numPr>
        <w:snapToGrid w:val="0"/>
        <w:spacing w:line="360" w:lineRule="auto"/>
        <w:rPr>
          <w:rFonts w:ascii="Arial" w:hAnsi="Arial" w:eastAsia="黑体"/>
          <w:sz w:val="24"/>
          <w:szCs w:val="20"/>
        </w:rPr>
      </w:pPr>
      <w:bookmarkStart w:id="209" w:name="_Toc83547659"/>
      <w:bookmarkStart w:id="210" w:name="_Toc85430440"/>
      <w:r>
        <w:rPr>
          <w:rFonts w:ascii="Arial" w:hAnsi="Arial" w:eastAsia="黑体"/>
          <w:sz w:val="24"/>
          <w:szCs w:val="20"/>
        </w:rPr>
        <w:t>《响应文件》的</w:t>
      </w:r>
      <w:bookmarkEnd w:id="209"/>
      <w:bookmarkEnd w:id="210"/>
      <w:r>
        <w:rPr>
          <w:rFonts w:hint="eastAsia" w:ascii="Arial" w:hAnsi="Arial" w:eastAsia="黑体"/>
          <w:sz w:val="24"/>
          <w:szCs w:val="20"/>
        </w:rPr>
        <w:t>密封和标记</w:t>
      </w:r>
    </w:p>
    <w:p>
      <w:pPr>
        <w:numPr>
          <w:ilvl w:val="2"/>
          <w:numId w:val="30"/>
        </w:numPr>
        <w:snapToGrid w:val="0"/>
        <w:spacing w:line="360" w:lineRule="auto"/>
        <w:rPr>
          <w:rFonts w:ascii="Arial" w:hAnsi="Arial"/>
          <w:sz w:val="24"/>
          <w:szCs w:val="20"/>
        </w:rPr>
      </w:pPr>
      <w:r>
        <w:rPr>
          <w:rFonts w:hint="eastAsia" w:ascii="Arial" w:hAnsi="Arial" w:cs="Arial"/>
          <w:sz w:val="24"/>
        </w:rPr>
        <w:t>供应商</w:t>
      </w:r>
      <w:r>
        <w:rPr>
          <w:rFonts w:ascii="Arial" w:hAnsi="Arial" w:cs="Arial"/>
          <w:sz w:val="24"/>
        </w:rPr>
        <w:t>应将</w:t>
      </w:r>
      <w:r>
        <w:rPr>
          <w:rFonts w:hint="eastAsia" w:ascii="Arial" w:hAnsi="Arial" w:cs="Arial"/>
          <w:sz w:val="24"/>
        </w:rPr>
        <w:t>响应</w:t>
      </w:r>
      <w:r>
        <w:rPr>
          <w:rFonts w:ascii="Arial" w:hAnsi="Arial" w:cs="Arial"/>
          <w:sz w:val="24"/>
        </w:rPr>
        <w:t>文件正本和所有的副本、电子版本分</w:t>
      </w:r>
      <w:r>
        <w:rPr>
          <w:rFonts w:hint="eastAsia" w:ascii="Arial" w:hAnsi="Arial" w:cs="Arial"/>
          <w:sz w:val="24"/>
        </w:rPr>
        <w:t>别</w:t>
      </w:r>
      <w:r>
        <w:rPr>
          <w:rFonts w:ascii="Arial" w:hAnsi="Arial" w:cs="Arial"/>
          <w:sz w:val="24"/>
        </w:rPr>
        <w:t>密封装在单独的信封中，</w:t>
      </w:r>
      <w:r>
        <w:rPr>
          <w:rFonts w:hint="eastAsia" w:ascii="Arial" w:hAnsi="Arial" w:cs="Arial"/>
          <w:sz w:val="24"/>
        </w:rPr>
        <w:t>并</w:t>
      </w:r>
      <w:r>
        <w:rPr>
          <w:rFonts w:ascii="Arial" w:hAnsi="Arial" w:cs="Arial"/>
          <w:sz w:val="24"/>
        </w:rPr>
        <w:t>在信封上标明 “正本”、“副本”、“电子版本”字样。所有的信封</w:t>
      </w:r>
      <w:r>
        <w:rPr>
          <w:rFonts w:hint="eastAsia" w:ascii="Arial" w:hAnsi="Arial" w:cs="Arial"/>
          <w:sz w:val="24"/>
        </w:rPr>
        <w:t>封皮</w:t>
      </w:r>
      <w:r>
        <w:rPr>
          <w:rFonts w:ascii="Arial" w:hAnsi="Arial" w:cs="Arial"/>
          <w:sz w:val="24"/>
        </w:rPr>
        <w:t>上均应清楚注明：</w:t>
      </w:r>
      <w:r>
        <w:rPr>
          <w:rFonts w:hint="eastAsia" w:ascii="Arial" w:hAnsi="Arial" w:cs="Arial"/>
          <w:sz w:val="24"/>
        </w:rPr>
        <w:t>采购项目</w:t>
      </w:r>
      <w:r>
        <w:rPr>
          <w:rFonts w:ascii="Arial" w:hAnsi="Arial" w:cs="Arial"/>
          <w:sz w:val="24"/>
        </w:rPr>
        <w:t>编号、项目名称、</w:t>
      </w:r>
      <w:r>
        <w:rPr>
          <w:rFonts w:hint="eastAsia" w:ascii="Arial" w:hAnsi="Arial" w:cs="Arial"/>
          <w:sz w:val="24"/>
        </w:rPr>
        <w:t>供应商</w:t>
      </w:r>
      <w:r>
        <w:rPr>
          <w:rFonts w:ascii="Arial" w:hAnsi="Arial" w:cs="Arial"/>
          <w:sz w:val="24"/>
        </w:rPr>
        <w:t>名称及“在</w:t>
      </w:r>
      <w:r>
        <w:rPr>
          <w:rFonts w:ascii="Arial" w:hAnsi="Arial" w:cs="Arial"/>
          <w:sz w:val="24"/>
          <w:u w:val="single"/>
        </w:rPr>
        <w:t>（</w:t>
      </w:r>
      <w:r>
        <w:rPr>
          <w:rFonts w:hint="eastAsia" w:ascii="Arial" w:hAnsi="Arial" w:cs="Arial"/>
          <w:sz w:val="24"/>
          <w:u w:val="single"/>
        </w:rPr>
        <w:t>磋商</w:t>
      </w:r>
      <w:r>
        <w:rPr>
          <w:rFonts w:ascii="Arial" w:hAnsi="Arial" w:cs="Arial"/>
          <w:sz w:val="24"/>
          <w:u w:val="single"/>
        </w:rPr>
        <w:t>时间）</w:t>
      </w:r>
      <w:r>
        <w:rPr>
          <w:rFonts w:ascii="Arial" w:hAnsi="Arial" w:cs="Arial"/>
          <w:sz w:val="24"/>
        </w:rPr>
        <w:t>之前不得启封”的字样。信封封口处应有</w:t>
      </w:r>
      <w:r>
        <w:rPr>
          <w:rFonts w:hint="eastAsia" w:ascii="Arial" w:hAnsi="Arial" w:cs="Arial"/>
          <w:sz w:val="24"/>
        </w:rPr>
        <w:t>供应商</w:t>
      </w:r>
      <w:r>
        <w:rPr>
          <w:rFonts w:ascii="Arial" w:hAnsi="Arial" w:cs="Arial"/>
          <w:sz w:val="24"/>
        </w:rPr>
        <w:t>代表的签字及</w:t>
      </w:r>
      <w:r>
        <w:rPr>
          <w:rFonts w:hint="eastAsia" w:ascii="Arial" w:hAnsi="Arial" w:cs="Arial"/>
          <w:sz w:val="24"/>
        </w:rPr>
        <w:t>供应商</w:t>
      </w:r>
      <w:r>
        <w:rPr>
          <w:rFonts w:ascii="Arial" w:hAnsi="Arial" w:cs="Arial"/>
          <w:sz w:val="24"/>
        </w:rPr>
        <w:t>公章。</w:t>
      </w:r>
    </w:p>
    <w:p>
      <w:pPr>
        <w:numPr>
          <w:ilvl w:val="2"/>
          <w:numId w:val="30"/>
        </w:numPr>
        <w:snapToGrid w:val="0"/>
        <w:spacing w:line="360" w:lineRule="auto"/>
        <w:rPr>
          <w:rFonts w:ascii="Arial" w:hAnsi="Arial"/>
          <w:sz w:val="24"/>
          <w:szCs w:val="20"/>
        </w:rPr>
      </w:pPr>
      <w:r>
        <w:rPr>
          <w:rFonts w:ascii="Arial" w:hAnsi="Arial"/>
          <w:sz w:val="24"/>
          <w:szCs w:val="20"/>
        </w:rPr>
        <w:t>为了方便磋商，供应商应</w:t>
      </w:r>
      <w:r>
        <w:rPr>
          <w:rFonts w:hint="eastAsia" w:ascii="Arial" w:hAnsi="Arial"/>
          <w:sz w:val="24"/>
          <w:szCs w:val="20"/>
        </w:rPr>
        <w:t>将</w:t>
      </w:r>
      <w:r>
        <w:rPr>
          <w:rFonts w:ascii="Arial" w:hAnsi="Arial"/>
          <w:sz w:val="24"/>
          <w:szCs w:val="20"/>
        </w:rPr>
        <w:t>“报价一览表”</w:t>
      </w:r>
      <w:r>
        <w:rPr>
          <w:rFonts w:hint="eastAsia" w:ascii="Arial" w:hAnsi="Arial"/>
          <w:sz w:val="24"/>
          <w:szCs w:val="20"/>
        </w:rPr>
        <w:t>和“磋商保证金”分别单独密封提交（各放在一个单独的信封内），</w:t>
      </w:r>
      <w:r>
        <w:rPr>
          <w:rFonts w:ascii="Arial" w:hAnsi="Arial"/>
          <w:sz w:val="24"/>
          <w:szCs w:val="20"/>
        </w:rPr>
        <w:t>并在该信封上标明“报价一览表”</w:t>
      </w:r>
      <w:r>
        <w:rPr>
          <w:rFonts w:hint="eastAsia" w:ascii="Arial" w:hAnsi="Arial"/>
          <w:sz w:val="24"/>
          <w:szCs w:val="20"/>
        </w:rPr>
        <w:t>和“磋商保证金”</w:t>
      </w:r>
      <w:r>
        <w:rPr>
          <w:rFonts w:ascii="Arial" w:hAnsi="Arial"/>
          <w:sz w:val="24"/>
          <w:szCs w:val="20"/>
        </w:rPr>
        <w:t>字样。</w:t>
      </w:r>
    </w:p>
    <w:p>
      <w:pPr>
        <w:numPr>
          <w:ilvl w:val="2"/>
          <w:numId w:val="30"/>
        </w:numPr>
        <w:snapToGrid w:val="0"/>
        <w:spacing w:line="360" w:lineRule="auto"/>
        <w:rPr>
          <w:rFonts w:ascii="Arial" w:hAnsi="Arial"/>
          <w:sz w:val="24"/>
          <w:szCs w:val="20"/>
        </w:rPr>
      </w:pPr>
      <w:r>
        <w:rPr>
          <w:rFonts w:ascii="Arial" w:hAnsi="Arial" w:cs="Arial"/>
          <w:sz w:val="24"/>
        </w:rPr>
        <w:t>如果</w:t>
      </w:r>
      <w:r>
        <w:rPr>
          <w:rFonts w:hint="eastAsia" w:ascii="Arial" w:hAnsi="Arial" w:cs="Arial"/>
          <w:sz w:val="24"/>
        </w:rPr>
        <w:t>供应商未按上述要求对响应文件密封及加写标记，采购代理机构对文件的</w:t>
      </w:r>
      <w:r>
        <w:rPr>
          <w:rFonts w:ascii="Arial" w:hAnsi="Arial" w:cs="Arial"/>
          <w:sz w:val="24"/>
        </w:rPr>
        <w:t>误投或过早启封概不负责。</w:t>
      </w:r>
      <w:r>
        <w:rPr>
          <w:rFonts w:hint="eastAsia" w:ascii="Arial" w:hAnsi="Arial" w:cs="Arial"/>
          <w:sz w:val="24"/>
        </w:rPr>
        <w:t>对由此造成提前开封的响应文件，采购代理机构有权予以拒绝，并退回供应商。</w:t>
      </w:r>
    </w:p>
    <w:p>
      <w:pPr>
        <w:numPr>
          <w:ilvl w:val="0"/>
          <w:numId w:val="14"/>
        </w:numPr>
        <w:snapToGrid w:val="0"/>
        <w:spacing w:line="360" w:lineRule="auto"/>
        <w:rPr>
          <w:rFonts w:ascii="Arial" w:hAnsi="Arial" w:eastAsia="黑体"/>
          <w:sz w:val="24"/>
          <w:szCs w:val="20"/>
        </w:rPr>
      </w:pPr>
      <w:bookmarkStart w:id="211" w:name="_Toc85430443"/>
      <w:bookmarkStart w:id="212" w:name="_Toc83547662"/>
      <w:r>
        <w:rPr>
          <w:rFonts w:ascii="Arial" w:hAnsi="Arial" w:eastAsia="黑体"/>
          <w:sz w:val="24"/>
          <w:szCs w:val="20"/>
        </w:rPr>
        <w:t>《响应文件》递交截止时间</w:t>
      </w:r>
      <w:bookmarkEnd w:id="211"/>
      <w:bookmarkEnd w:id="212"/>
    </w:p>
    <w:p>
      <w:pPr>
        <w:numPr>
          <w:ilvl w:val="0"/>
          <w:numId w:val="31"/>
        </w:numPr>
        <w:snapToGrid w:val="0"/>
        <w:spacing w:line="360" w:lineRule="auto"/>
        <w:rPr>
          <w:rFonts w:ascii="Arial" w:hAnsi="Arial"/>
          <w:sz w:val="24"/>
          <w:szCs w:val="20"/>
        </w:rPr>
      </w:pPr>
      <w:r>
        <w:rPr>
          <w:rFonts w:hint="eastAsia" w:ascii="Arial" w:hAnsi="Arial" w:cs="Arial"/>
          <w:sz w:val="24"/>
        </w:rPr>
        <w:t>采购代理</w:t>
      </w:r>
      <w:r>
        <w:rPr>
          <w:rFonts w:ascii="Arial" w:hAnsi="Arial" w:cs="Arial"/>
          <w:sz w:val="24"/>
        </w:rPr>
        <w:t>机构接</w:t>
      </w:r>
      <w:r>
        <w:rPr>
          <w:rFonts w:hint="eastAsia" w:ascii="Arial" w:hAnsi="Arial" w:cs="Arial"/>
          <w:sz w:val="24"/>
        </w:rPr>
        <w:t>收《响应文件》</w:t>
      </w:r>
      <w:r>
        <w:rPr>
          <w:rFonts w:ascii="Arial" w:hAnsi="Arial" w:cs="Arial"/>
          <w:sz w:val="24"/>
        </w:rPr>
        <w:t>截止时间及地点见</w:t>
      </w:r>
      <w:r>
        <w:rPr>
          <w:rFonts w:hint="eastAsia" w:ascii="Arial" w:hAnsi="Arial" w:eastAsia="黑体" w:cs="Arial"/>
          <w:sz w:val="24"/>
        </w:rPr>
        <w:t>磋商</w:t>
      </w:r>
      <w:r>
        <w:rPr>
          <w:rFonts w:ascii="Arial" w:hAnsi="Arial" w:eastAsia="黑体" w:cs="Arial"/>
          <w:sz w:val="24"/>
        </w:rPr>
        <w:t>资料表</w:t>
      </w:r>
      <w:r>
        <w:rPr>
          <w:rFonts w:hint="eastAsia" w:ascii="Arial" w:hAnsi="Arial" w:eastAsia="黑体" w:cs="Arial"/>
          <w:sz w:val="24"/>
          <w:u w:val="single"/>
        </w:rPr>
        <w:t>第10条</w:t>
      </w:r>
      <w:r>
        <w:rPr>
          <w:rFonts w:ascii="Arial" w:hAnsi="Arial" w:cs="Arial"/>
          <w:sz w:val="24"/>
        </w:rPr>
        <w:t>中规定。</w:t>
      </w:r>
    </w:p>
    <w:p>
      <w:pPr>
        <w:numPr>
          <w:ilvl w:val="0"/>
          <w:numId w:val="31"/>
        </w:numPr>
        <w:snapToGrid w:val="0"/>
        <w:spacing w:line="360" w:lineRule="auto"/>
        <w:rPr>
          <w:rFonts w:ascii="Arial" w:hAnsi="Arial"/>
          <w:sz w:val="24"/>
          <w:szCs w:val="20"/>
        </w:rPr>
      </w:pPr>
      <w:r>
        <w:rPr>
          <w:rFonts w:hint="eastAsia" w:ascii="Arial" w:hAnsi="Arial" w:cs="Arial"/>
          <w:sz w:val="24"/>
        </w:rPr>
        <w:t>《响应文件》须按照磋商文件规定的时间、地点送达，在《响应文件》递交截止时间以后送达的《响应文件》，为无效文件，采购代理机构应当拒收。</w:t>
      </w:r>
    </w:p>
    <w:p>
      <w:pPr>
        <w:numPr>
          <w:ilvl w:val="0"/>
          <w:numId w:val="31"/>
        </w:numPr>
        <w:snapToGrid w:val="0"/>
        <w:spacing w:line="360" w:lineRule="auto"/>
        <w:rPr>
          <w:rFonts w:ascii="Arial" w:hAnsi="Arial"/>
          <w:sz w:val="24"/>
          <w:szCs w:val="20"/>
        </w:rPr>
      </w:pPr>
      <w:r>
        <w:rPr>
          <w:rFonts w:hint="eastAsia" w:ascii="Arial" w:hAnsi="Arial" w:cs="Arial"/>
          <w:sz w:val="24"/>
        </w:rPr>
        <w:t>采购</w:t>
      </w:r>
      <w:r>
        <w:rPr>
          <w:rFonts w:ascii="Arial" w:hAnsi="Arial" w:cs="Arial"/>
          <w:sz w:val="24"/>
        </w:rPr>
        <w:t>代理机构可以依法酌情延长</w:t>
      </w:r>
      <w:r>
        <w:rPr>
          <w:rFonts w:hint="eastAsia" w:ascii="Arial" w:hAnsi="Arial" w:cs="Arial"/>
          <w:sz w:val="24"/>
        </w:rPr>
        <w:t>《响应文件》递交</w:t>
      </w:r>
      <w:r>
        <w:rPr>
          <w:rFonts w:ascii="Arial" w:hAnsi="Arial" w:cs="Arial"/>
          <w:sz w:val="24"/>
        </w:rPr>
        <w:t>截止</w:t>
      </w:r>
      <w:r>
        <w:rPr>
          <w:rFonts w:hint="eastAsia" w:ascii="Arial" w:hAnsi="Arial" w:cs="Arial"/>
          <w:sz w:val="24"/>
        </w:rPr>
        <w:t>时间</w:t>
      </w:r>
      <w:r>
        <w:rPr>
          <w:rFonts w:ascii="Arial" w:hAnsi="Arial" w:cs="Arial"/>
          <w:sz w:val="24"/>
        </w:rPr>
        <w:t>。在此情况下，</w:t>
      </w:r>
      <w:r>
        <w:rPr>
          <w:rFonts w:hint="eastAsia" w:ascii="Arial" w:hAnsi="Arial" w:cs="Arial"/>
          <w:sz w:val="24"/>
        </w:rPr>
        <w:t>采购</w:t>
      </w:r>
      <w:r>
        <w:rPr>
          <w:rFonts w:ascii="Arial" w:hAnsi="Arial" w:cs="Arial"/>
          <w:sz w:val="24"/>
        </w:rPr>
        <w:t>人和</w:t>
      </w:r>
      <w:r>
        <w:rPr>
          <w:rFonts w:hint="eastAsia" w:ascii="Arial" w:hAnsi="Arial" w:cs="Arial"/>
          <w:sz w:val="24"/>
        </w:rPr>
        <w:t>供应商</w:t>
      </w:r>
      <w:r>
        <w:rPr>
          <w:rFonts w:ascii="Arial" w:hAnsi="Arial" w:cs="Arial"/>
          <w:sz w:val="24"/>
        </w:rPr>
        <w:t>受</w:t>
      </w:r>
      <w:r>
        <w:rPr>
          <w:rFonts w:hint="eastAsia" w:ascii="Arial" w:hAnsi="Arial" w:cs="Arial"/>
          <w:sz w:val="24"/>
        </w:rPr>
        <w:t>《响应文件》递交</w:t>
      </w:r>
      <w:r>
        <w:rPr>
          <w:rFonts w:ascii="Arial" w:hAnsi="Arial" w:cs="Arial"/>
          <w:sz w:val="24"/>
        </w:rPr>
        <w:t>截止</w:t>
      </w:r>
      <w:r>
        <w:rPr>
          <w:rFonts w:hint="eastAsia" w:ascii="Arial" w:hAnsi="Arial" w:cs="Arial"/>
          <w:sz w:val="24"/>
        </w:rPr>
        <w:t>时间</w:t>
      </w:r>
      <w:r>
        <w:rPr>
          <w:rFonts w:ascii="Arial" w:hAnsi="Arial" w:cs="Arial"/>
          <w:sz w:val="24"/>
        </w:rPr>
        <w:t>制约的所有权利和义务均应延长至新的截止</w:t>
      </w:r>
      <w:r>
        <w:rPr>
          <w:rFonts w:hint="eastAsia" w:ascii="Arial" w:hAnsi="Arial" w:cs="Arial"/>
          <w:sz w:val="24"/>
        </w:rPr>
        <w:t>时间</w:t>
      </w:r>
      <w:r>
        <w:rPr>
          <w:rFonts w:ascii="Arial" w:hAnsi="Arial" w:cs="Arial"/>
          <w:sz w:val="24"/>
        </w:rPr>
        <w:t>。</w:t>
      </w:r>
    </w:p>
    <w:p>
      <w:pPr>
        <w:numPr>
          <w:ilvl w:val="0"/>
          <w:numId w:val="14"/>
        </w:numPr>
        <w:snapToGrid w:val="0"/>
        <w:spacing w:line="360" w:lineRule="auto"/>
        <w:rPr>
          <w:rFonts w:ascii="Arial" w:hAnsi="Arial" w:eastAsia="黑体"/>
          <w:sz w:val="24"/>
          <w:szCs w:val="20"/>
        </w:rPr>
      </w:pPr>
      <w:bookmarkStart w:id="213" w:name="_Toc83547664"/>
      <w:bookmarkStart w:id="214" w:name="_Toc85430445"/>
      <w:r>
        <w:rPr>
          <w:rFonts w:ascii="Arial" w:hAnsi="Arial" w:eastAsia="黑体"/>
          <w:sz w:val="24"/>
          <w:szCs w:val="20"/>
        </w:rPr>
        <w:t>《响应文件》的修改与撤回</w:t>
      </w:r>
      <w:bookmarkEnd w:id="213"/>
      <w:bookmarkEnd w:id="214"/>
    </w:p>
    <w:p>
      <w:pPr>
        <w:numPr>
          <w:ilvl w:val="0"/>
          <w:numId w:val="32"/>
        </w:numPr>
        <w:snapToGrid w:val="0"/>
        <w:spacing w:line="360" w:lineRule="auto"/>
        <w:rPr>
          <w:rFonts w:ascii="Arial" w:hAnsi="Arial"/>
          <w:sz w:val="24"/>
        </w:rPr>
      </w:pPr>
      <w:r>
        <w:rPr>
          <w:rFonts w:ascii="Arial" w:hAnsi="Arial"/>
          <w:sz w:val="24"/>
        </w:rPr>
        <w:t>供应商在递交《响应文件》后，可以修改或撤回其《响应文件》，但供应商必须在规定的《响应文件》递交截止时间之前将修改或撤回的书面通知递交到采购代理机构。</w:t>
      </w:r>
    </w:p>
    <w:p>
      <w:pPr>
        <w:numPr>
          <w:ilvl w:val="0"/>
          <w:numId w:val="32"/>
        </w:numPr>
        <w:snapToGrid w:val="0"/>
        <w:spacing w:line="360" w:lineRule="auto"/>
        <w:rPr>
          <w:rFonts w:ascii="Arial" w:hAnsi="Arial"/>
          <w:sz w:val="24"/>
        </w:rPr>
      </w:pPr>
      <w:r>
        <w:rPr>
          <w:rFonts w:hint="eastAsia" w:ascii="Arial" w:hAnsi="Arial"/>
          <w:sz w:val="24"/>
        </w:rPr>
        <w:t>供应商</w:t>
      </w:r>
      <w:r>
        <w:rPr>
          <w:rFonts w:hint="eastAsia" w:ascii="Arial" w:hAnsi="Arial" w:cs="Arial"/>
          <w:sz w:val="24"/>
        </w:rPr>
        <w:t>撤回《响应文件》的要求应由供应商法定代表人或授权代表签署，补充、修改《响应文件》的书面材料，应当按照磋商文件要求签署、盖章，作为响应文件的组成部分，密封送达采购代理机构，同时应在封套上标明“修改响应文件（并注明项目编号）”和“</w:t>
      </w:r>
      <w:r>
        <w:rPr>
          <w:rFonts w:ascii="Arial" w:hAnsi="Arial" w:cs="Arial"/>
          <w:sz w:val="24"/>
        </w:rPr>
        <w:t>在</w:t>
      </w:r>
      <w:r>
        <w:rPr>
          <w:rFonts w:ascii="Arial" w:hAnsi="Arial" w:cs="Arial"/>
          <w:sz w:val="24"/>
          <w:u w:val="single"/>
        </w:rPr>
        <w:t>（</w:t>
      </w:r>
      <w:r>
        <w:rPr>
          <w:rFonts w:hint="eastAsia" w:ascii="Arial" w:hAnsi="Arial" w:cs="Arial"/>
          <w:sz w:val="24"/>
          <w:u w:val="single"/>
        </w:rPr>
        <w:t>磋商</w:t>
      </w:r>
      <w:r>
        <w:rPr>
          <w:rFonts w:ascii="Arial" w:hAnsi="Arial" w:cs="Arial"/>
          <w:sz w:val="24"/>
          <w:u w:val="single"/>
        </w:rPr>
        <w:t>时间）</w:t>
      </w:r>
      <w:r>
        <w:rPr>
          <w:rFonts w:ascii="Arial" w:hAnsi="Arial" w:cs="Arial"/>
          <w:sz w:val="24"/>
        </w:rPr>
        <w:t>之前不得启封</w:t>
      </w:r>
      <w:r>
        <w:rPr>
          <w:rFonts w:hint="eastAsia" w:ascii="Arial" w:hAnsi="Arial" w:cs="Arial"/>
          <w:sz w:val="24"/>
        </w:rPr>
        <w:t>”</w:t>
      </w:r>
      <w:r>
        <w:rPr>
          <w:rFonts w:ascii="Arial" w:hAnsi="Arial" w:cs="Arial"/>
          <w:sz w:val="24"/>
        </w:rPr>
        <w:t>的字样</w:t>
      </w:r>
      <w:r>
        <w:rPr>
          <w:rFonts w:hint="eastAsia" w:ascii="Arial" w:hAnsi="Arial" w:cs="Arial"/>
          <w:sz w:val="24"/>
        </w:rPr>
        <w:t>。</w:t>
      </w:r>
    </w:p>
    <w:p>
      <w:pPr>
        <w:numPr>
          <w:ilvl w:val="0"/>
          <w:numId w:val="32"/>
        </w:numPr>
        <w:snapToGrid w:val="0"/>
        <w:spacing w:line="360" w:lineRule="auto"/>
        <w:rPr>
          <w:rFonts w:ascii="Arial" w:hAnsi="Arial"/>
          <w:sz w:val="24"/>
          <w:szCs w:val="20"/>
        </w:rPr>
      </w:pPr>
      <w:r>
        <w:rPr>
          <w:rFonts w:ascii="Arial" w:hAnsi="Arial"/>
          <w:sz w:val="24"/>
          <w:szCs w:val="20"/>
        </w:rPr>
        <w:t>从《响应文件》递交截止时间起至</w:t>
      </w:r>
      <w:r>
        <w:rPr>
          <w:rFonts w:hint="eastAsia" w:ascii="Arial" w:hAnsi="Arial"/>
          <w:sz w:val="24"/>
          <w:szCs w:val="20"/>
        </w:rPr>
        <w:t>磋商</w:t>
      </w:r>
      <w:r>
        <w:rPr>
          <w:rFonts w:ascii="Arial" w:hAnsi="Arial"/>
          <w:sz w:val="24"/>
          <w:szCs w:val="20"/>
        </w:rPr>
        <w:t>有效期</w:t>
      </w:r>
      <w:r>
        <w:rPr>
          <w:rFonts w:hint="eastAsia" w:ascii="Arial" w:hAnsi="Arial"/>
          <w:sz w:val="24"/>
          <w:szCs w:val="20"/>
        </w:rPr>
        <w:t>截止前</w:t>
      </w:r>
      <w:r>
        <w:rPr>
          <w:rFonts w:ascii="Arial" w:hAnsi="Arial"/>
          <w:sz w:val="24"/>
          <w:szCs w:val="20"/>
        </w:rPr>
        <w:t>，供应商不得撤回其《响应文件》，否则其磋商保证金将</w:t>
      </w:r>
      <w:r>
        <w:rPr>
          <w:rFonts w:hint="eastAsia" w:ascii="Arial" w:hAnsi="Arial"/>
          <w:sz w:val="24"/>
          <w:szCs w:val="20"/>
        </w:rPr>
        <w:t>不予退还</w:t>
      </w:r>
      <w:r>
        <w:rPr>
          <w:rFonts w:ascii="Arial" w:hAnsi="Arial"/>
          <w:sz w:val="24"/>
          <w:szCs w:val="20"/>
        </w:rPr>
        <w:t>。</w:t>
      </w:r>
    </w:p>
    <w:p>
      <w:pPr>
        <w:snapToGrid w:val="0"/>
        <w:spacing w:line="360" w:lineRule="auto"/>
        <w:outlineLvl w:val="0"/>
        <w:rPr>
          <w:rFonts w:ascii="Arial" w:hAnsi="Arial" w:eastAsia="黑体"/>
          <w:sz w:val="24"/>
          <w:szCs w:val="20"/>
        </w:rPr>
      </w:pPr>
      <w:bookmarkStart w:id="215" w:name="_Toc85430446"/>
      <w:bookmarkStart w:id="216" w:name="_Toc83547665"/>
      <w:bookmarkStart w:id="217" w:name="_Toc85186251"/>
      <w:bookmarkStart w:id="218" w:name="_Toc235856991"/>
      <w:bookmarkStart w:id="219" w:name="_Toc389142113"/>
      <w:bookmarkStart w:id="220" w:name="_Toc85186135"/>
      <w:bookmarkStart w:id="221" w:name="_Toc48061814"/>
      <w:bookmarkStart w:id="222" w:name="_Toc57032382"/>
      <w:bookmarkStart w:id="223" w:name="_Toc5957170"/>
      <w:bookmarkStart w:id="224" w:name="_Toc27475559"/>
      <w:bookmarkStart w:id="225" w:name="_Toc92357012"/>
      <w:bookmarkStart w:id="226" w:name="_Toc92965929"/>
      <w:r>
        <w:rPr>
          <w:rFonts w:ascii="Arial" w:hAnsi="Arial" w:eastAsia="黑体"/>
          <w:sz w:val="24"/>
          <w:szCs w:val="20"/>
        </w:rPr>
        <w:t>五、磋商</w:t>
      </w:r>
      <w:bookmarkEnd w:id="215"/>
      <w:bookmarkEnd w:id="216"/>
      <w:bookmarkEnd w:id="217"/>
      <w:bookmarkEnd w:id="218"/>
      <w:bookmarkEnd w:id="219"/>
      <w:bookmarkEnd w:id="220"/>
      <w:bookmarkEnd w:id="221"/>
      <w:bookmarkEnd w:id="222"/>
      <w:bookmarkEnd w:id="223"/>
      <w:bookmarkEnd w:id="224"/>
      <w:bookmarkEnd w:id="225"/>
      <w:bookmarkEnd w:id="226"/>
    </w:p>
    <w:p>
      <w:pPr>
        <w:numPr>
          <w:ilvl w:val="0"/>
          <w:numId w:val="14"/>
        </w:numPr>
        <w:snapToGrid w:val="0"/>
        <w:spacing w:line="360" w:lineRule="auto"/>
        <w:rPr>
          <w:rFonts w:ascii="Arial" w:hAnsi="Arial" w:eastAsia="黑体"/>
          <w:sz w:val="24"/>
          <w:szCs w:val="20"/>
        </w:rPr>
      </w:pPr>
      <w:bookmarkStart w:id="227" w:name="_Toc83547666"/>
      <w:bookmarkStart w:id="228" w:name="_Toc85430447"/>
      <w:r>
        <w:rPr>
          <w:rFonts w:ascii="Arial" w:hAnsi="Arial" w:eastAsia="黑体"/>
          <w:sz w:val="24"/>
          <w:szCs w:val="20"/>
        </w:rPr>
        <w:t>接收《响应文件》</w:t>
      </w:r>
      <w:bookmarkEnd w:id="227"/>
      <w:bookmarkEnd w:id="228"/>
    </w:p>
    <w:p>
      <w:pPr>
        <w:numPr>
          <w:ilvl w:val="0"/>
          <w:numId w:val="33"/>
        </w:numPr>
        <w:snapToGrid w:val="0"/>
        <w:spacing w:line="360" w:lineRule="auto"/>
        <w:rPr>
          <w:rFonts w:ascii="Arial" w:hAnsi="Arial"/>
          <w:sz w:val="24"/>
          <w:szCs w:val="20"/>
        </w:rPr>
      </w:pPr>
      <w:r>
        <w:rPr>
          <w:rFonts w:ascii="Arial" w:hAnsi="Arial"/>
          <w:sz w:val="24"/>
          <w:szCs w:val="20"/>
        </w:rPr>
        <w:t>采购代理机构在磋商邀请中规定的时间和地点统一接收供应商递交的《响应文件》，并作递交记录，供应商的代表需在递交记录上签字确认。</w:t>
      </w:r>
    </w:p>
    <w:p>
      <w:pPr>
        <w:numPr>
          <w:ilvl w:val="0"/>
          <w:numId w:val="14"/>
        </w:numPr>
        <w:snapToGrid w:val="0"/>
        <w:spacing w:line="360" w:lineRule="auto"/>
        <w:rPr>
          <w:rFonts w:ascii="Arial" w:hAnsi="Arial" w:eastAsia="黑体"/>
          <w:sz w:val="24"/>
          <w:szCs w:val="20"/>
        </w:rPr>
      </w:pPr>
      <w:bookmarkStart w:id="229" w:name="_Toc85430448"/>
      <w:bookmarkStart w:id="230" w:name="_Toc83547667"/>
      <w:r>
        <w:rPr>
          <w:rFonts w:ascii="Arial" w:hAnsi="Arial" w:eastAsia="黑体"/>
          <w:sz w:val="24"/>
          <w:szCs w:val="20"/>
        </w:rPr>
        <w:t>《响应文件》的</w:t>
      </w:r>
      <w:bookmarkEnd w:id="229"/>
      <w:bookmarkEnd w:id="230"/>
      <w:r>
        <w:rPr>
          <w:rFonts w:hint="eastAsia" w:ascii="Arial" w:hAnsi="Arial" w:eastAsia="黑体"/>
          <w:sz w:val="24"/>
          <w:szCs w:val="20"/>
        </w:rPr>
        <w:t>评审</w:t>
      </w:r>
    </w:p>
    <w:p>
      <w:pPr>
        <w:numPr>
          <w:ilvl w:val="0"/>
          <w:numId w:val="34"/>
        </w:numPr>
        <w:snapToGrid w:val="0"/>
        <w:spacing w:line="360" w:lineRule="auto"/>
        <w:rPr>
          <w:rFonts w:ascii="Arial" w:hAnsi="Arial"/>
          <w:sz w:val="24"/>
          <w:szCs w:val="20"/>
        </w:rPr>
      </w:pPr>
      <w:r>
        <w:rPr>
          <w:rFonts w:ascii="Arial" w:hAnsi="Arial"/>
          <w:sz w:val="24"/>
          <w:szCs w:val="20"/>
        </w:rPr>
        <w:t>商务审核：</w:t>
      </w:r>
      <w:r>
        <w:rPr>
          <w:rFonts w:hint="eastAsia" w:ascii="Arial" w:hAnsi="Arial"/>
          <w:sz w:val="24"/>
          <w:szCs w:val="20"/>
        </w:rPr>
        <w:t>审核《响应文件》的有效性、完整性和响应程度，包括</w:t>
      </w:r>
      <w:r>
        <w:rPr>
          <w:rFonts w:ascii="Arial" w:hAnsi="Arial"/>
          <w:sz w:val="24"/>
          <w:szCs w:val="20"/>
        </w:rPr>
        <w:t>是否由法</w:t>
      </w:r>
      <w:r>
        <w:rPr>
          <w:rFonts w:hint="eastAsia" w:ascii="Arial" w:hAnsi="Arial"/>
          <w:sz w:val="24"/>
          <w:szCs w:val="20"/>
        </w:rPr>
        <w:t>定代表人</w:t>
      </w:r>
      <w:r>
        <w:rPr>
          <w:rFonts w:ascii="Arial" w:hAnsi="Arial"/>
          <w:sz w:val="24"/>
          <w:szCs w:val="20"/>
        </w:rPr>
        <w:t>或授权代表有效签署；</w:t>
      </w:r>
      <w:r>
        <w:rPr>
          <w:rFonts w:hint="eastAsia" w:ascii="Arial" w:hAnsi="Arial"/>
          <w:sz w:val="24"/>
          <w:szCs w:val="20"/>
        </w:rPr>
        <w:t>磋商</w:t>
      </w:r>
      <w:r>
        <w:rPr>
          <w:rFonts w:ascii="Arial" w:hAnsi="Arial"/>
          <w:sz w:val="24"/>
          <w:szCs w:val="20"/>
        </w:rPr>
        <w:t>有效期是否</w:t>
      </w:r>
      <w:r>
        <w:rPr>
          <w:rFonts w:hint="eastAsia" w:ascii="Arial" w:hAnsi="Arial"/>
          <w:sz w:val="24"/>
          <w:szCs w:val="20"/>
        </w:rPr>
        <w:t>满足</w:t>
      </w:r>
      <w:r>
        <w:rPr>
          <w:rFonts w:ascii="Arial" w:hAnsi="Arial"/>
          <w:sz w:val="24"/>
          <w:szCs w:val="20"/>
        </w:rPr>
        <w:t>；磋商保证金是否足额；资格证明文件是否合格；</w:t>
      </w:r>
      <w:r>
        <w:rPr>
          <w:rFonts w:hint="eastAsia" w:ascii="Arial" w:hAnsi="Arial"/>
          <w:sz w:val="24"/>
          <w:szCs w:val="20"/>
        </w:rPr>
        <w:t>交货期或服务期</w:t>
      </w:r>
      <w:r>
        <w:rPr>
          <w:rFonts w:ascii="Arial" w:hAnsi="Arial"/>
          <w:sz w:val="24"/>
          <w:szCs w:val="20"/>
        </w:rPr>
        <w:t>、</w:t>
      </w:r>
      <w:r>
        <w:rPr>
          <w:rFonts w:hint="eastAsia" w:ascii="Arial" w:hAnsi="Arial"/>
          <w:sz w:val="24"/>
          <w:szCs w:val="20"/>
        </w:rPr>
        <w:t>质量保证期、</w:t>
      </w:r>
      <w:r>
        <w:rPr>
          <w:rFonts w:ascii="Arial" w:hAnsi="Arial"/>
          <w:sz w:val="24"/>
          <w:szCs w:val="20"/>
        </w:rPr>
        <w:t>付款条件和方式有无偏离等。</w:t>
      </w:r>
    </w:p>
    <w:p>
      <w:pPr>
        <w:numPr>
          <w:ilvl w:val="0"/>
          <w:numId w:val="34"/>
        </w:numPr>
        <w:snapToGrid w:val="0"/>
        <w:spacing w:line="360" w:lineRule="auto"/>
        <w:rPr>
          <w:rFonts w:ascii="Arial" w:hAnsi="Arial"/>
          <w:sz w:val="24"/>
          <w:szCs w:val="20"/>
        </w:rPr>
      </w:pPr>
      <w:r>
        <w:rPr>
          <w:rFonts w:ascii="Arial" w:hAnsi="Arial"/>
          <w:sz w:val="24"/>
          <w:szCs w:val="20"/>
        </w:rPr>
        <w:t>技术审核：对《响应文件》按《磋商文件》的</w:t>
      </w:r>
      <w:r>
        <w:rPr>
          <w:rFonts w:hint="eastAsia" w:ascii="Arial" w:hAnsi="Arial"/>
          <w:sz w:val="24"/>
          <w:szCs w:val="20"/>
        </w:rPr>
        <w:t>技术要求响应程度</w:t>
      </w:r>
      <w:r>
        <w:rPr>
          <w:rFonts w:ascii="Arial" w:hAnsi="Arial"/>
          <w:sz w:val="24"/>
          <w:szCs w:val="20"/>
        </w:rPr>
        <w:t>逐项进行审核。</w:t>
      </w:r>
    </w:p>
    <w:p>
      <w:pPr>
        <w:numPr>
          <w:ilvl w:val="0"/>
          <w:numId w:val="34"/>
        </w:numPr>
        <w:snapToGrid w:val="0"/>
        <w:spacing w:line="360" w:lineRule="auto"/>
        <w:rPr>
          <w:rFonts w:ascii="Arial" w:hAnsi="Arial"/>
          <w:sz w:val="24"/>
          <w:szCs w:val="20"/>
        </w:rPr>
      </w:pPr>
      <w:r>
        <w:rPr>
          <w:rFonts w:hint="eastAsia" w:ascii="Arial" w:hAnsi="Arial"/>
          <w:sz w:val="24"/>
          <w:szCs w:val="20"/>
        </w:rPr>
        <w:t>磋商小组在进行审核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0"/>
          <w:numId w:val="34"/>
        </w:numPr>
        <w:snapToGrid w:val="0"/>
        <w:spacing w:line="360" w:lineRule="auto"/>
        <w:rPr>
          <w:rFonts w:ascii="Arial" w:hAnsi="Arial"/>
          <w:sz w:val="24"/>
          <w:szCs w:val="20"/>
        </w:rPr>
      </w:pPr>
      <w:r>
        <w:rPr>
          <w:rFonts w:hint="eastAsia" w:ascii="Arial" w:hAnsi="Arial"/>
          <w:sz w:val="24"/>
          <w:szCs w:val="20"/>
        </w:rPr>
        <w:t>通过《响应文件》评审的供应商被视为实质性响应《磋商文件》的供应商，进入磋商环节。</w:t>
      </w:r>
    </w:p>
    <w:p>
      <w:pPr>
        <w:numPr>
          <w:ilvl w:val="0"/>
          <w:numId w:val="14"/>
        </w:numPr>
        <w:snapToGrid w:val="0"/>
        <w:spacing w:line="360" w:lineRule="auto"/>
        <w:rPr>
          <w:rFonts w:ascii="Arial" w:hAnsi="Arial" w:eastAsia="黑体"/>
          <w:sz w:val="24"/>
          <w:szCs w:val="20"/>
        </w:rPr>
      </w:pPr>
      <w:r>
        <w:rPr>
          <w:rFonts w:ascii="Arial" w:hAnsi="Arial" w:eastAsia="黑体"/>
          <w:sz w:val="24"/>
          <w:szCs w:val="20"/>
        </w:rPr>
        <w:t>磋商</w:t>
      </w:r>
    </w:p>
    <w:p>
      <w:pPr>
        <w:numPr>
          <w:ilvl w:val="0"/>
          <w:numId w:val="35"/>
        </w:numPr>
        <w:snapToGrid w:val="0"/>
        <w:spacing w:line="360" w:lineRule="auto"/>
        <w:rPr>
          <w:rFonts w:ascii="Arial" w:hAnsi="Arial"/>
          <w:sz w:val="24"/>
          <w:szCs w:val="20"/>
        </w:rPr>
      </w:pPr>
      <w:r>
        <w:rPr>
          <w:rFonts w:ascii="Arial" w:hAnsi="Arial"/>
          <w:sz w:val="24"/>
          <w:szCs w:val="20"/>
        </w:rPr>
        <w:t>磋商小组</w:t>
      </w:r>
      <w:r>
        <w:rPr>
          <w:rFonts w:hint="eastAsia" w:ascii="Arial" w:hAnsi="Arial"/>
          <w:sz w:val="24"/>
          <w:szCs w:val="20"/>
        </w:rPr>
        <w:t>成员集中与实质性响应《磋商文件》的单一供应商分别就商务、技术、售后服务等进行磋商，并给予供应商平等的磋商机会</w:t>
      </w:r>
      <w:r>
        <w:rPr>
          <w:rFonts w:ascii="Arial" w:hAnsi="Arial"/>
          <w:sz w:val="24"/>
          <w:szCs w:val="20"/>
        </w:rPr>
        <w:t>。</w:t>
      </w:r>
    </w:p>
    <w:p>
      <w:pPr>
        <w:numPr>
          <w:ilvl w:val="0"/>
          <w:numId w:val="35"/>
        </w:numPr>
        <w:snapToGrid w:val="0"/>
        <w:spacing w:line="360" w:lineRule="auto"/>
        <w:rPr>
          <w:rFonts w:ascii="Arial" w:hAnsi="Arial"/>
          <w:sz w:val="24"/>
          <w:szCs w:val="20"/>
        </w:rPr>
      </w:pPr>
      <w:r>
        <w:rPr>
          <w:rFonts w:hint="eastAsia" w:ascii="Arial" w:hAnsi="Arial"/>
          <w:sz w:val="24"/>
          <w:szCs w:val="20"/>
        </w:rPr>
        <w:t>磋商小组要求供应商澄清、说明或者更正《响应文件》应当以书面形式作出。供应商的澄清、说明或者更正应当由法定代表人或者其授权代表签字或者加盖公章。</w:t>
      </w:r>
    </w:p>
    <w:p>
      <w:pPr>
        <w:numPr>
          <w:ilvl w:val="0"/>
          <w:numId w:val="35"/>
        </w:numPr>
        <w:snapToGrid w:val="0"/>
        <w:spacing w:line="360" w:lineRule="auto"/>
        <w:rPr>
          <w:rFonts w:ascii="Arial" w:hAnsi="Arial"/>
          <w:sz w:val="24"/>
          <w:szCs w:val="20"/>
        </w:rPr>
      </w:pPr>
      <w:r>
        <w:rPr>
          <w:rFonts w:hint="eastAsia" w:ascii="Arial" w:hAnsi="Arial"/>
          <w:sz w:val="24"/>
          <w:szCs w:val="20"/>
        </w:rPr>
        <w:t>在磋商过程中，磋商小组可以根据《磋商文件》和磋商情况实质性变动采购需求中的技术、服务要求以及合同草案条款，但不得变动磋商文件中的其他内容，实质性变动的内容须经采购人代表书面确认。</w:t>
      </w:r>
    </w:p>
    <w:p>
      <w:pPr>
        <w:numPr>
          <w:ilvl w:val="0"/>
          <w:numId w:val="35"/>
        </w:numPr>
        <w:snapToGrid w:val="0"/>
        <w:spacing w:line="360" w:lineRule="auto"/>
        <w:rPr>
          <w:rFonts w:ascii="Arial" w:hAnsi="Arial"/>
          <w:sz w:val="24"/>
          <w:szCs w:val="20"/>
        </w:rPr>
      </w:pPr>
      <w:r>
        <w:rPr>
          <w:rFonts w:hint="eastAsia" w:ascii="Arial" w:hAnsi="Arial"/>
          <w:sz w:val="24"/>
          <w:szCs w:val="20"/>
        </w:rPr>
        <w:t>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numPr>
          <w:ilvl w:val="0"/>
          <w:numId w:val="14"/>
        </w:numPr>
        <w:snapToGrid w:val="0"/>
        <w:spacing w:line="360" w:lineRule="auto"/>
        <w:rPr>
          <w:rFonts w:ascii="Arial" w:hAnsi="Arial" w:eastAsia="黑体"/>
          <w:sz w:val="24"/>
          <w:szCs w:val="20"/>
        </w:rPr>
      </w:pPr>
      <w:bookmarkStart w:id="231" w:name="_Toc83547669"/>
      <w:bookmarkStart w:id="232" w:name="_Toc85430450"/>
      <w:r>
        <w:rPr>
          <w:rFonts w:ascii="Arial" w:hAnsi="Arial" w:eastAsia="黑体"/>
          <w:sz w:val="24"/>
          <w:szCs w:val="20"/>
        </w:rPr>
        <w:t>最终报价</w:t>
      </w:r>
      <w:bookmarkEnd w:id="231"/>
      <w:bookmarkEnd w:id="232"/>
    </w:p>
    <w:p>
      <w:pPr>
        <w:numPr>
          <w:ilvl w:val="0"/>
          <w:numId w:val="36"/>
        </w:numPr>
        <w:tabs>
          <w:tab w:val="left" w:pos="0"/>
        </w:tabs>
        <w:snapToGrid w:val="0"/>
        <w:spacing w:line="360" w:lineRule="auto"/>
        <w:rPr>
          <w:rFonts w:ascii="Arial" w:hAnsi="Arial"/>
          <w:sz w:val="24"/>
          <w:szCs w:val="20"/>
        </w:rPr>
      </w:pPr>
      <w:r>
        <w:rPr>
          <w:rFonts w:hint="eastAsia" w:ascii="Arial" w:hAnsi="Arial"/>
          <w:sz w:val="24"/>
          <w:szCs w:val="20"/>
        </w:rPr>
        <w:t>最终报价是供应商《响应文件》的有效组成部分。</w:t>
      </w:r>
    </w:p>
    <w:p>
      <w:pPr>
        <w:numPr>
          <w:ilvl w:val="0"/>
          <w:numId w:val="36"/>
        </w:numPr>
        <w:tabs>
          <w:tab w:val="left" w:pos="0"/>
        </w:tabs>
        <w:snapToGrid w:val="0"/>
        <w:spacing w:line="360" w:lineRule="auto"/>
        <w:rPr>
          <w:rFonts w:ascii="Arial" w:hAnsi="Arial"/>
          <w:sz w:val="24"/>
          <w:szCs w:val="20"/>
        </w:rPr>
      </w:pPr>
      <w:r>
        <w:rPr>
          <w:rFonts w:hint="eastAsia" w:ascii="Arial" w:hAnsi="Arial"/>
          <w:sz w:val="24"/>
          <w:szCs w:val="20"/>
        </w:rPr>
        <w:t>磋商文件能够详细列明采购标的的技术、服务要求的，</w:t>
      </w:r>
      <w:r>
        <w:rPr>
          <w:rFonts w:ascii="Arial" w:hAnsi="Arial"/>
          <w:sz w:val="24"/>
          <w:szCs w:val="20"/>
        </w:rPr>
        <w:t>磋商结束后，磋商小组将要求</w:t>
      </w:r>
      <w:r>
        <w:rPr>
          <w:rFonts w:hint="eastAsia" w:ascii="Arial" w:hAnsi="Arial"/>
          <w:sz w:val="24"/>
          <w:szCs w:val="20"/>
        </w:rPr>
        <w:t>所有继续参加磋商的</w:t>
      </w:r>
      <w:r>
        <w:rPr>
          <w:rFonts w:ascii="Arial" w:hAnsi="Arial"/>
          <w:sz w:val="24"/>
          <w:szCs w:val="20"/>
        </w:rPr>
        <w:t>供应商在规定时间</w:t>
      </w:r>
      <w:r>
        <w:rPr>
          <w:rFonts w:hint="eastAsia" w:ascii="Arial" w:hAnsi="Arial"/>
          <w:sz w:val="24"/>
          <w:szCs w:val="20"/>
        </w:rPr>
        <w:t>内提交</w:t>
      </w:r>
      <w:r>
        <w:rPr>
          <w:rFonts w:ascii="Arial" w:hAnsi="Arial"/>
          <w:sz w:val="24"/>
          <w:szCs w:val="20"/>
        </w:rPr>
        <w:t>最终报价</w:t>
      </w:r>
      <w:r>
        <w:rPr>
          <w:rFonts w:hint="eastAsia" w:ascii="Arial" w:hAnsi="Arial"/>
          <w:sz w:val="24"/>
          <w:szCs w:val="20"/>
        </w:rPr>
        <w:t>。</w:t>
      </w:r>
    </w:p>
    <w:p>
      <w:pPr>
        <w:numPr>
          <w:ilvl w:val="0"/>
          <w:numId w:val="36"/>
        </w:numPr>
        <w:tabs>
          <w:tab w:val="left" w:pos="0"/>
        </w:tabs>
        <w:snapToGrid w:val="0"/>
        <w:spacing w:line="360" w:lineRule="auto"/>
        <w:rPr>
          <w:rFonts w:ascii="Arial" w:hAnsi="Arial"/>
          <w:sz w:val="24"/>
          <w:szCs w:val="20"/>
        </w:rPr>
      </w:pPr>
      <w:r>
        <w:rPr>
          <w:rFonts w:hint="eastAsia" w:ascii="Arial" w:hAnsi="Arial"/>
          <w:sz w:val="24"/>
          <w:szCs w:val="20"/>
        </w:rPr>
        <w:t>磋商文件不能详细列明采购标的的技术、服务要求，须经磋商由供应商提供最终设计方案或解决方案的，</w:t>
      </w:r>
      <w:r>
        <w:rPr>
          <w:rFonts w:ascii="Arial" w:hAnsi="Arial"/>
          <w:sz w:val="24"/>
          <w:szCs w:val="20"/>
        </w:rPr>
        <w:t>磋商结束后，磋商小组</w:t>
      </w:r>
      <w:r>
        <w:rPr>
          <w:rFonts w:hint="eastAsia" w:ascii="Arial" w:hAnsi="Arial"/>
          <w:sz w:val="24"/>
          <w:szCs w:val="20"/>
        </w:rPr>
        <w:t>按照少数服从多数的原则投票推荐供应商的设计方案或者解决方案，并</w:t>
      </w:r>
      <w:r>
        <w:rPr>
          <w:rFonts w:ascii="Arial" w:hAnsi="Arial"/>
          <w:sz w:val="24"/>
          <w:szCs w:val="20"/>
        </w:rPr>
        <w:t>要求</w:t>
      </w:r>
      <w:r>
        <w:rPr>
          <w:rFonts w:hint="eastAsia" w:ascii="Arial" w:hAnsi="Arial"/>
          <w:sz w:val="24"/>
          <w:szCs w:val="20"/>
        </w:rPr>
        <w:t>其</w:t>
      </w:r>
      <w:r>
        <w:rPr>
          <w:rFonts w:ascii="Arial" w:hAnsi="Arial"/>
          <w:sz w:val="24"/>
          <w:szCs w:val="20"/>
        </w:rPr>
        <w:t>在规定时间</w:t>
      </w:r>
      <w:r>
        <w:rPr>
          <w:rFonts w:hint="eastAsia" w:ascii="Arial" w:hAnsi="Arial"/>
          <w:sz w:val="24"/>
          <w:szCs w:val="20"/>
        </w:rPr>
        <w:t>内提交</w:t>
      </w:r>
      <w:r>
        <w:rPr>
          <w:rFonts w:ascii="Arial" w:hAnsi="Arial"/>
          <w:sz w:val="24"/>
          <w:szCs w:val="20"/>
        </w:rPr>
        <w:t>最终报价</w:t>
      </w:r>
      <w:r>
        <w:rPr>
          <w:rFonts w:hint="eastAsia" w:ascii="Arial" w:hAnsi="Arial"/>
          <w:sz w:val="24"/>
          <w:szCs w:val="20"/>
        </w:rPr>
        <w:t>。</w:t>
      </w:r>
    </w:p>
    <w:p>
      <w:pPr>
        <w:numPr>
          <w:ilvl w:val="0"/>
          <w:numId w:val="36"/>
        </w:numPr>
        <w:snapToGrid w:val="0"/>
        <w:spacing w:line="360" w:lineRule="auto"/>
        <w:rPr>
          <w:rFonts w:ascii="Arial" w:hAnsi="Arial"/>
          <w:sz w:val="24"/>
          <w:szCs w:val="20"/>
        </w:rPr>
      </w:pPr>
      <w:r>
        <w:rPr>
          <w:rFonts w:ascii="Arial" w:hAnsi="Arial"/>
          <w:sz w:val="24"/>
          <w:szCs w:val="20"/>
        </w:rPr>
        <w:t>最终报价及书面承诺的每一页都必须由供应商法定代表人或其授权代表有效签署，密封递交。</w:t>
      </w:r>
    </w:p>
    <w:p>
      <w:pPr>
        <w:numPr>
          <w:ilvl w:val="0"/>
          <w:numId w:val="14"/>
        </w:numPr>
        <w:snapToGrid w:val="0"/>
        <w:spacing w:line="360" w:lineRule="auto"/>
        <w:rPr>
          <w:rFonts w:ascii="Arial" w:hAnsi="Arial" w:eastAsia="黑体"/>
          <w:sz w:val="24"/>
          <w:szCs w:val="20"/>
        </w:rPr>
      </w:pPr>
      <w:bookmarkStart w:id="233" w:name="_Hlt88465106"/>
      <w:bookmarkEnd w:id="233"/>
      <w:bookmarkStart w:id="234" w:name="_Toc83547671"/>
      <w:bookmarkStart w:id="235" w:name="_Toc85430452"/>
      <w:r>
        <w:rPr>
          <w:rFonts w:ascii="Arial" w:hAnsi="Arial" w:eastAsia="黑体"/>
          <w:sz w:val="24"/>
          <w:szCs w:val="20"/>
        </w:rPr>
        <w:t>成交供应商的确定</w:t>
      </w:r>
      <w:bookmarkEnd w:id="234"/>
      <w:bookmarkEnd w:id="235"/>
    </w:p>
    <w:p>
      <w:pPr>
        <w:numPr>
          <w:ilvl w:val="0"/>
          <w:numId w:val="37"/>
        </w:numPr>
        <w:snapToGrid w:val="0"/>
        <w:spacing w:line="360" w:lineRule="auto"/>
        <w:rPr>
          <w:rFonts w:ascii="Arial" w:hAnsi="Arial"/>
          <w:sz w:val="24"/>
          <w:szCs w:val="20"/>
        </w:rPr>
      </w:pPr>
      <w:r>
        <w:rPr>
          <w:rFonts w:hint="eastAsia" w:ascii="Arial" w:hAnsi="Arial"/>
          <w:sz w:val="24"/>
          <w:szCs w:val="20"/>
        </w:rPr>
        <w:t>磋商小组根据详细评审结果确定成交候选供应商，并按照综合评分由高到低顺序推荐成交候选供应商排序。</w:t>
      </w:r>
    </w:p>
    <w:p>
      <w:pPr>
        <w:numPr>
          <w:ilvl w:val="0"/>
          <w:numId w:val="37"/>
        </w:numPr>
        <w:snapToGrid w:val="0"/>
        <w:spacing w:line="360" w:lineRule="auto"/>
        <w:rPr>
          <w:rFonts w:ascii="Arial" w:hAnsi="Arial"/>
          <w:sz w:val="24"/>
          <w:szCs w:val="20"/>
        </w:rPr>
      </w:pPr>
      <w:r>
        <w:rPr>
          <w:rFonts w:hint="eastAsia" w:ascii="Arial" w:hAnsi="Arial"/>
          <w:sz w:val="24"/>
        </w:rPr>
        <w:t>采购人按照磋商小组推荐的成交候选供应商顺序确定成交供应商并向其授予合同。排序在前的成交候选供应商因不可抗力或者自身原因不能履行合同，或者本文件规定应当提交履约保证金而在规定期限未能提交的，采购人将把合同授予排序其后的成交候选供应商。</w:t>
      </w:r>
    </w:p>
    <w:p>
      <w:pPr>
        <w:numPr>
          <w:ilvl w:val="0"/>
          <w:numId w:val="37"/>
        </w:numPr>
        <w:snapToGrid w:val="0"/>
        <w:spacing w:line="360" w:lineRule="auto"/>
        <w:rPr>
          <w:rFonts w:ascii="Arial" w:hAnsi="Arial"/>
          <w:sz w:val="24"/>
          <w:szCs w:val="20"/>
        </w:rPr>
      </w:pPr>
      <w:r>
        <w:rPr>
          <w:rFonts w:hint="eastAsia" w:ascii="Arial" w:hAnsi="Arial"/>
          <w:sz w:val="24"/>
          <w:szCs w:val="20"/>
        </w:rPr>
        <w:t>出现下列情形之一的，采购代理机构应当终止竞争性磋商采购活动，发布项目终止公告并说明原因，重新开展采购：</w:t>
      </w:r>
    </w:p>
    <w:p>
      <w:pPr>
        <w:numPr>
          <w:ilvl w:val="0"/>
          <w:numId w:val="38"/>
        </w:numPr>
        <w:snapToGrid w:val="0"/>
        <w:spacing w:line="360" w:lineRule="auto"/>
        <w:rPr>
          <w:rFonts w:ascii="Arial" w:hAnsi="Arial"/>
          <w:sz w:val="24"/>
        </w:rPr>
      </w:pPr>
      <w:r>
        <w:rPr>
          <w:rFonts w:hint="eastAsia" w:ascii="Arial" w:hAnsi="Arial"/>
          <w:sz w:val="24"/>
        </w:rPr>
        <w:t>因情况变化，不再符合规定的竞争性磋商采购方式适用情形的；</w:t>
      </w:r>
    </w:p>
    <w:p>
      <w:pPr>
        <w:numPr>
          <w:ilvl w:val="0"/>
          <w:numId w:val="38"/>
        </w:numPr>
        <w:snapToGrid w:val="0"/>
        <w:spacing w:line="360" w:lineRule="auto"/>
        <w:rPr>
          <w:rFonts w:ascii="Arial" w:hAnsi="Arial"/>
          <w:sz w:val="24"/>
        </w:rPr>
      </w:pPr>
      <w:r>
        <w:rPr>
          <w:rFonts w:hint="eastAsia" w:ascii="Arial" w:hAnsi="Arial"/>
          <w:sz w:val="24"/>
        </w:rPr>
        <w:t>出现影响采购公正的违法、违规行为的；</w:t>
      </w:r>
    </w:p>
    <w:p>
      <w:pPr>
        <w:numPr>
          <w:ilvl w:val="0"/>
          <w:numId w:val="38"/>
        </w:numPr>
        <w:snapToGrid w:val="0"/>
        <w:spacing w:line="360" w:lineRule="auto"/>
        <w:rPr>
          <w:rFonts w:ascii="Arial" w:hAnsi="Arial"/>
          <w:sz w:val="24"/>
        </w:rPr>
      </w:pPr>
      <w:r>
        <w:rPr>
          <w:rFonts w:hint="eastAsia" w:ascii="Arial" w:hAnsi="Arial" w:cs="宋体"/>
          <w:sz w:val="24"/>
        </w:rPr>
        <w:t>在采购过程中符合竞争要求的供应商或者报价未超过采购预算的供应商不足</w:t>
      </w:r>
      <w:r>
        <w:rPr>
          <w:rFonts w:hint="eastAsia" w:ascii="Arial" w:hAnsi="Arial" w:cs="Arial"/>
          <w:sz w:val="24"/>
        </w:rPr>
        <w:t>2</w:t>
      </w:r>
      <w:r>
        <w:rPr>
          <w:rFonts w:hint="eastAsia" w:ascii="Arial" w:hAnsi="Arial" w:cs="宋体"/>
          <w:sz w:val="24"/>
        </w:rPr>
        <w:t>家的。</w:t>
      </w:r>
    </w:p>
    <w:p>
      <w:pPr>
        <w:numPr>
          <w:ilvl w:val="0"/>
          <w:numId w:val="14"/>
        </w:numPr>
        <w:snapToGrid w:val="0"/>
        <w:spacing w:before="120" w:beforeLines="50" w:line="360" w:lineRule="auto"/>
        <w:rPr>
          <w:rFonts w:ascii="Arial" w:hAnsi="Arial" w:eastAsia="黑体"/>
          <w:sz w:val="24"/>
          <w:szCs w:val="20"/>
        </w:rPr>
      </w:pPr>
      <w:bookmarkStart w:id="236" w:name="_Toc85430453"/>
      <w:bookmarkStart w:id="237" w:name="_Toc83547672"/>
      <w:r>
        <w:rPr>
          <w:rFonts w:ascii="Arial" w:hAnsi="Arial" w:eastAsia="黑体"/>
          <w:sz w:val="24"/>
          <w:szCs w:val="20"/>
        </w:rPr>
        <w:t>与采购人、采购代理机构和磋商小组的接触</w:t>
      </w:r>
      <w:bookmarkEnd w:id="236"/>
      <w:bookmarkEnd w:id="237"/>
    </w:p>
    <w:p>
      <w:pPr>
        <w:numPr>
          <w:ilvl w:val="0"/>
          <w:numId w:val="39"/>
        </w:numPr>
        <w:tabs>
          <w:tab w:val="left" w:pos="0"/>
        </w:tabs>
        <w:snapToGrid w:val="0"/>
        <w:spacing w:line="360" w:lineRule="auto"/>
        <w:rPr>
          <w:rFonts w:ascii="Arial" w:hAnsi="Arial"/>
          <w:sz w:val="24"/>
          <w:szCs w:val="20"/>
        </w:rPr>
      </w:pPr>
      <w:r>
        <w:rPr>
          <w:rFonts w:ascii="Arial" w:hAnsi="Arial"/>
          <w:sz w:val="24"/>
          <w:szCs w:val="20"/>
        </w:rPr>
        <w:t>在严格遵循国家有关部门相关规定前提下，磋商小组遵照评审办法，公平、公正地对待所有供应商。</w:t>
      </w:r>
    </w:p>
    <w:p>
      <w:pPr>
        <w:numPr>
          <w:ilvl w:val="0"/>
          <w:numId w:val="39"/>
        </w:numPr>
        <w:tabs>
          <w:tab w:val="left" w:pos="0"/>
        </w:tabs>
        <w:snapToGrid w:val="0"/>
        <w:spacing w:line="360" w:lineRule="auto"/>
        <w:rPr>
          <w:rFonts w:ascii="Arial" w:hAnsi="Arial"/>
          <w:sz w:val="24"/>
          <w:szCs w:val="20"/>
        </w:rPr>
      </w:pPr>
      <w:r>
        <w:rPr>
          <w:rFonts w:ascii="Arial" w:hAnsi="Arial"/>
          <w:sz w:val="24"/>
          <w:szCs w:val="20"/>
        </w:rPr>
        <w:t>在评审期间，供应商不得向磋商小组成员询问评审情况，不得进行旨在影响评审结果的活动。</w:t>
      </w:r>
    </w:p>
    <w:p>
      <w:pPr>
        <w:numPr>
          <w:ilvl w:val="0"/>
          <w:numId w:val="39"/>
        </w:numPr>
        <w:tabs>
          <w:tab w:val="left" w:pos="1155"/>
        </w:tabs>
        <w:snapToGrid w:val="0"/>
        <w:spacing w:line="360" w:lineRule="auto"/>
        <w:rPr>
          <w:rFonts w:ascii="Arial" w:hAnsi="Arial"/>
          <w:sz w:val="24"/>
          <w:szCs w:val="20"/>
        </w:rPr>
      </w:pPr>
      <w:r>
        <w:rPr>
          <w:rFonts w:ascii="Arial" w:hAnsi="Arial"/>
          <w:sz w:val="24"/>
          <w:szCs w:val="20"/>
        </w:rPr>
        <w:t>供应商之间不得相互串通报价，不得排挤其他供应商的公平竞争，损害采购人或者其他供应商的合法权益。</w:t>
      </w:r>
    </w:p>
    <w:p>
      <w:pPr>
        <w:snapToGrid w:val="0"/>
        <w:spacing w:line="360" w:lineRule="auto"/>
        <w:outlineLvl w:val="0"/>
        <w:rPr>
          <w:rFonts w:ascii="Arial" w:hAnsi="Arial" w:eastAsia="黑体"/>
          <w:sz w:val="24"/>
          <w:szCs w:val="20"/>
        </w:rPr>
      </w:pPr>
      <w:bookmarkStart w:id="238" w:name="_Toc85186252"/>
      <w:bookmarkStart w:id="239" w:name="_Toc235856992"/>
      <w:bookmarkStart w:id="240" w:name="_Toc389142114"/>
      <w:bookmarkStart w:id="241" w:name="_Toc85186136"/>
      <w:bookmarkStart w:id="242" w:name="_Toc83547673"/>
      <w:bookmarkStart w:id="243" w:name="_Toc85430454"/>
      <w:bookmarkStart w:id="244" w:name="_Toc5957171"/>
      <w:bookmarkStart w:id="245" w:name="_Toc27475560"/>
      <w:bookmarkStart w:id="246" w:name="_Toc48061815"/>
      <w:bookmarkStart w:id="247" w:name="_Toc57032383"/>
      <w:bookmarkStart w:id="248" w:name="_Toc92357013"/>
      <w:bookmarkStart w:id="249" w:name="_Toc92965930"/>
      <w:r>
        <w:rPr>
          <w:rFonts w:ascii="Arial" w:hAnsi="Arial" w:eastAsia="黑体"/>
          <w:sz w:val="24"/>
          <w:szCs w:val="20"/>
        </w:rPr>
        <w:t>六、授予合同</w:t>
      </w:r>
      <w:bookmarkEnd w:id="238"/>
      <w:bookmarkEnd w:id="239"/>
      <w:bookmarkEnd w:id="240"/>
      <w:bookmarkEnd w:id="241"/>
      <w:bookmarkEnd w:id="242"/>
      <w:bookmarkEnd w:id="243"/>
      <w:bookmarkEnd w:id="244"/>
      <w:bookmarkEnd w:id="245"/>
      <w:bookmarkEnd w:id="246"/>
      <w:bookmarkEnd w:id="247"/>
      <w:bookmarkEnd w:id="248"/>
      <w:bookmarkEnd w:id="249"/>
      <w:bookmarkStart w:id="250" w:name="_Hlt83546623"/>
      <w:bookmarkEnd w:id="250"/>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成交通知</w:t>
      </w:r>
    </w:p>
    <w:p>
      <w:pPr>
        <w:numPr>
          <w:ilvl w:val="0"/>
          <w:numId w:val="40"/>
        </w:numPr>
        <w:tabs>
          <w:tab w:val="left" w:pos="1135"/>
        </w:tabs>
        <w:snapToGrid w:val="0"/>
        <w:spacing w:line="360" w:lineRule="auto"/>
        <w:rPr>
          <w:rFonts w:ascii="Arial" w:hAnsi="Arial"/>
          <w:sz w:val="24"/>
          <w:szCs w:val="20"/>
        </w:rPr>
      </w:pPr>
      <w:r>
        <w:rPr>
          <w:rFonts w:hint="eastAsia" w:ascii="Arial" w:hAnsi="Arial" w:cs="Arial"/>
          <w:sz w:val="24"/>
        </w:rPr>
        <w:t>成交供应商确定后，采购代理机构将在刊登本次公告的媒体上发布成交公告，同时以书面形式向成交供应商发出成交通知书。成交通知书对采购人和成交供应商具有同等法律效力。成交通知书发出后，采购人改变采购结果或者成交供应商放弃成交，应当承担相应的法律责任。</w:t>
      </w:r>
    </w:p>
    <w:p>
      <w:pPr>
        <w:numPr>
          <w:ilvl w:val="0"/>
          <w:numId w:val="40"/>
        </w:numPr>
        <w:tabs>
          <w:tab w:val="left" w:pos="1135"/>
        </w:tabs>
        <w:snapToGrid w:val="0"/>
        <w:spacing w:line="360" w:lineRule="auto"/>
        <w:rPr>
          <w:rFonts w:ascii="Arial" w:hAnsi="Arial"/>
          <w:sz w:val="24"/>
          <w:szCs w:val="20"/>
        </w:rPr>
      </w:pPr>
      <w:r>
        <w:rPr>
          <w:rFonts w:hint="eastAsia" w:ascii="Arial" w:hAnsi="Arial"/>
          <w:sz w:val="24"/>
          <w:szCs w:val="20"/>
        </w:rPr>
        <w:t>成交通知书是合同的组成部分。</w:t>
      </w:r>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签订合同</w:t>
      </w:r>
    </w:p>
    <w:p>
      <w:pPr>
        <w:numPr>
          <w:ilvl w:val="0"/>
          <w:numId w:val="41"/>
        </w:numPr>
        <w:snapToGrid w:val="0"/>
        <w:spacing w:line="360" w:lineRule="auto"/>
        <w:ind w:left="567"/>
        <w:rPr>
          <w:rFonts w:ascii="Arial" w:hAnsi="Arial"/>
          <w:sz w:val="24"/>
          <w:szCs w:val="20"/>
        </w:rPr>
      </w:pPr>
      <w:r>
        <w:rPr>
          <w:rFonts w:ascii="Arial" w:hAnsi="Arial"/>
          <w:sz w:val="24"/>
          <w:szCs w:val="20"/>
        </w:rPr>
        <w:t>成交供应商自收到成交通知书之日起30天内与采购人签订合同。</w:t>
      </w:r>
    </w:p>
    <w:p>
      <w:pPr>
        <w:numPr>
          <w:ilvl w:val="0"/>
          <w:numId w:val="41"/>
        </w:numPr>
        <w:snapToGrid w:val="0"/>
        <w:spacing w:line="360" w:lineRule="auto"/>
        <w:ind w:left="567"/>
        <w:rPr>
          <w:rFonts w:ascii="Arial" w:hAnsi="Arial"/>
          <w:sz w:val="24"/>
          <w:szCs w:val="20"/>
        </w:rPr>
      </w:pPr>
      <w:r>
        <w:rPr>
          <w:rFonts w:hint="eastAsia" w:ascii="Arial" w:hAnsi="Arial" w:cs="Arial"/>
          <w:sz w:val="24"/>
          <w:szCs w:val="20"/>
        </w:rPr>
        <w:t>采购</w:t>
      </w:r>
      <w:r>
        <w:rPr>
          <w:rFonts w:ascii="Arial" w:hAnsi="Arial" w:cs="Arial"/>
          <w:sz w:val="24"/>
          <w:szCs w:val="20"/>
        </w:rPr>
        <w:t>人必须根据</w:t>
      </w:r>
      <w:r>
        <w:rPr>
          <w:rFonts w:hint="eastAsia" w:ascii="Arial" w:hAnsi="Arial" w:cs="Arial"/>
          <w:sz w:val="24"/>
          <w:szCs w:val="20"/>
        </w:rPr>
        <w:t>《磋商文件》</w:t>
      </w:r>
      <w:r>
        <w:rPr>
          <w:rFonts w:ascii="Arial" w:hAnsi="Arial" w:cs="Arial"/>
          <w:sz w:val="24"/>
          <w:szCs w:val="20"/>
        </w:rPr>
        <w:t>、</w:t>
      </w:r>
      <w:r>
        <w:rPr>
          <w:rFonts w:hint="eastAsia" w:ascii="Arial" w:hAnsi="Arial" w:cs="Arial"/>
          <w:sz w:val="24"/>
          <w:szCs w:val="20"/>
        </w:rPr>
        <w:t>成交供应商的《响应</w:t>
      </w:r>
      <w:r>
        <w:rPr>
          <w:rFonts w:ascii="Arial" w:hAnsi="Arial" w:cs="Arial"/>
          <w:sz w:val="24"/>
          <w:szCs w:val="20"/>
        </w:rPr>
        <w:t>文件</w:t>
      </w:r>
      <w:r>
        <w:rPr>
          <w:rFonts w:hint="eastAsia" w:ascii="Arial" w:hAnsi="Arial" w:cs="Arial"/>
          <w:sz w:val="24"/>
          <w:szCs w:val="20"/>
        </w:rPr>
        <w:t>》</w:t>
      </w:r>
      <w:r>
        <w:rPr>
          <w:rFonts w:ascii="Arial" w:hAnsi="Arial" w:cs="Arial"/>
          <w:sz w:val="24"/>
          <w:szCs w:val="20"/>
        </w:rPr>
        <w:t>及</w:t>
      </w:r>
      <w:r>
        <w:rPr>
          <w:rFonts w:hint="eastAsia" w:ascii="Arial" w:hAnsi="Arial" w:cs="Arial"/>
          <w:sz w:val="24"/>
          <w:szCs w:val="20"/>
        </w:rPr>
        <w:t>磋商过程中的</w:t>
      </w:r>
      <w:r>
        <w:rPr>
          <w:rFonts w:ascii="Arial" w:hAnsi="Arial" w:cs="Arial"/>
          <w:sz w:val="24"/>
          <w:szCs w:val="20"/>
        </w:rPr>
        <w:t>有关澄清</w:t>
      </w:r>
      <w:r>
        <w:rPr>
          <w:rFonts w:hint="eastAsia" w:ascii="Arial" w:hAnsi="Arial" w:cs="Arial"/>
          <w:sz w:val="24"/>
          <w:szCs w:val="20"/>
        </w:rPr>
        <w:t>、说明或者补正文件的内容</w:t>
      </w:r>
      <w:r>
        <w:rPr>
          <w:rFonts w:ascii="Arial" w:hAnsi="Arial" w:cs="Arial"/>
          <w:sz w:val="24"/>
          <w:szCs w:val="20"/>
        </w:rPr>
        <w:t>与</w:t>
      </w:r>
      <w:r>
        <w:rPr>
          <w:rFonts w:hint="eastAsia" w:ascii="Arial" w:hAnsi="Arial" w:cs="Arial"/>
          <w:sz w:val="24"/>
          <w:szCs w:val="20"/>
        </w:rPr>
        <w:t>成交供应商</w:t>
      </w:r>
      <w:r>
        <w:rPr>
          <w:rFonts w:ascii="Arial" w:hAnsi="Arial" w:cs="Arial"/>
          <w:sz w:val="24"/>
          <w:szCs w:val="20"/>
        </w:rPr>
        <w:t>签订合同</w:t>
      </w:r>
      <w:r>
        <w:rPr>
          <w:rFonts w:hint="eastAsia" w:ascii="Arial" w:hAnsi="Arial" w:cs="Arial"/>
          <w:sz w:val="24"/>
          <w:szCs w:val="20"/>
        </w:rPr>
        <w:t>。成交供应商不得再与采购人签订背离合同实质性内容的其他协议或声明。</w:t>
      </w:r>
    </w:p>
    <w:p>
      <w:pPr>
        <w:numPr>
          <w:ilvl w:val="0"/>
          <w:numId w:val="41"/>
        </w:numPr>
        <w:snapToGrid w:val="0"/>
        <w:spacing w:line="360" w:lineRule="auto"/>
        <w:ind w:left="567"/>
        <w:rPr>
          <w:rFonts w:ascii="Arial" w:hAnsi="Arial"/>
          <w:sz w:val="24"/>
          <w:szCs w:val="20"/>
        </w:rPr>
      </w:pPr>
      <w:r>
        <w:rPr>
          <w:rFonts w:ascii="Arial" w:hAnsi="Arial"/>
          <w:sz w:val="24"/>
          <w:szCs w:val="20"/>
        </w:rPr>
        <w:t>如果成交供应商没有按照上述规定执行，采购人和采购代理机构将取消该合同授予决定，并</w:t>
      </w:r>
      <w:r>
        <w:rPr>
          <w:rFonts w:hint="eastAsia" w:ascii="Arial" w:hAnsi="Arial"/>
          <w:sz w:val="24"/>
          <w:szCs w:val="20"/>
        </w:rPr>
        <w:t>不予退还</w:t>
      </w:r>
      <w:r>
        <w:rPr>
          <w:rFonts w:ascii="Arial" w:hAnsi="Arial"/>
          <w:sz w:val="24"/>
          <w:szCs w:val="20"/>
        </w:rPr>
        <w:t>其磋商保证金。在此情况下，采购人和采购代理机构可将合同授予下一个符合采购需求的</w:t>
      </w:r>
      <w:r>
        <w:rPr>
          <w:rFonts w:hint="eastAsia" w:ascii="Arial" w:hAnsi="Arial"/>
          <w:sz w:val="24"/>
          <w:szCs w:val="20"/>
        </w:rPr>
        <w:t>推荐预成交</w:t>
      </w:r>
      <w:r>
        <w:rPr>
          <w:rFonts w:ascii="Arial" w:hAnsi="Arial"/>
          <w:sz w:val="24"/>
          <w:szCs w:val="20"/>
        </w:rPr>
        <w:t>供应商，或重新组织竞争性磋商。</w:t>
      </w:r>
    </w:p>
    <w:p>
      <w:pPr>
        <w:numPr>
          <w:ilvl w:val="0"/>
          <w:numId w:val="41"/>
        </w:numPr>
        <w:snapToGrid w:val="0"/>
        <w:spacing w:line="360" w:lineRule="auto"/>
        <w:ind w:left="567"/>
        <w:rPr>
          <w:rFonts w:ascii="Arial" w:hAnsi="Arial"/>
          <w:sz w:val="24"/>
          <w:szCs w:val="20"/>
        </w:rPr>
      </w:pPr>
      <w:r>
        <w:rPr>
          <w:rFonts w:hint="eastAsia" w:ascii="Arial" w:hAnsi="Arial" w:cs="Arial"/>
          <w:sz w:val="24"/>
          <w:szCs w:val="20"/>
        </w:rPr>
        <w:t>采购人如需追加与合同标的相同的货物或服务，在不改变合同其他条款的前提下，可以与成交供应商协商签订补充合同，但所有补充合同的采购金额不得超过原合同采购金额的百分之十。</w:t>
      </w:r>
    </w:p>
    <w:p>
      <w:pPr>
        <w:numPr>
          <w:ilvl w:val="0"/>
          <w:numId w:val="41"/>
        </w:numPr>
        <w:snapToGrid w:val="0"/>
        <w:spacing w:line="360" w:lineRule="auto"/>
        <w:ind w:left="567"/>
        <w:rPr>
          <w:rFonts w:ascii="Arial" w:hAnsi="Arial"/>
          <w:sz w:val="24"/>
          <w:szCs w:val="20"/>
        </w:rPr>
      </w:pPr>
      <w:r>
        <w:rPr>
          <w:rFonts w:hint="eastAsia" w:ascii="Arial" w:hAnsi="Arial" w:cs="Arial"/>
          <w:sz w:val="24"/>
          <w:szCs w:val="20"/>
        </w:rPr>
        <w:t>未经采购人事先给予书面同意，成交供应商</w:t>
      </w:r>
      <w:r>
        <w:rPr>
          <w:rFonts w:ascii="Arial" w:hAnsi="Arial" w:cs="Arial"/>
          <w:sz w:val="24"/>
          <w:szCs w:val="20"/>
        </w:rPr>
        <w:t>不得将本项目转包</w:t>
      </w:r>
      <w:r>
        <w:rPr>
          <w:rFonts w:hint="eastAsia" w:ascii="Arial" w:hAnsi="Arial" w:cs="Arial"/>
          <w:sz w:val="24"/>
          <w:szCs w:val="20"/>
        </w:rPr>
        <w:t>、分包</w:t>
      </w:r>
      <w:r>
        <w:rPr>
          <w:rFonts w:ascii="Arial" w:hAnsi="Arial" w:cs="Arial"/>
          <w:sz w:val="24"/>
          <w:szCs w:val="20"/>
        </w:rPr>
        <w:t>，</w:t>
      </w:r>
      <w:r>
        <w:rPr>
          <w:rFonts w:hint="eastAsia" w:ascii="Arial" w:hAnsi="Arial" w:cs="Arial"/>
          <w:sz w:val="24"/>
          <w:szCs w:val="20"/>
        </w:rPr>
        <w:t>并不得将合同全部及任何权利、义务向第三方转让，</w:t>
      </w:r>
      <w:r>
        <w:rPr>
          <w:rFonts w:ascii="Arial" w:hAnsi="Arial" w:cs="Arial"/>
          <w:sz w:val="24"/>
          <w:szCs w:val="20"/>
        </w:rPr>
        <w:t>否则</w:t>
      </w:r>
      <w:r>
        <w:rPr>
          <w:rFonts w:hint="eastAsia" w:ascii="Arial" w:hAnsi="Arial" w:cs="Arial"/>
          <w:sz w:val="24"/>
          <w:szCs w:val="20"/>
        </w:rPr>
        <w:t>将被视为严重违约，采购</w:t>
      </w:r>
      <w:r>
        <w:rPr>
          <w:rFonts w:ascii="Arial" w:hAnsi="Arial" w:cs="Arial"/>
          <w:sz w:val="24"/>
          <w:szCs w:val="20"/>
        </w:rPr>
        <w:t>人有权</w:t>
      </w:r>
      <w:r>
        <w:rPr>
          <w:rFonts w:hint="eastAsia" w:ascii="Arial" w:hAnsi="Arial" w:cs="Arial"/>
          <w:sz w:val="24"/>
          <w:szCs w:val="20"/>
        </w:rPr>
        <w:t>决定按照成交供应商成交后毁约、终止或解除合同等依约处理。</w:t>
      </w:r>
    </w:p>
    <w:p>
      <w:pPr>
        <w:numPr>
          <w:ilvl w:val="0"/>
          <w:numId w:val="41"/>
        </w:numPr>
        <w:snapToGrid w:val="0"/>
        <w:spacing w:line="360" w:lineRule="auto"/>
        <w:ind w:left="567"/>
        <w:rPr>
          <w:rFonts w:ascii="Arial" w:hAnsi="Arial"/>
          <w:sz w:val="24"/>
          <w:szCs w:val="20"/>
        </w:rPr>
      </w:pPr>
      <w:r>
        <w:rPr>
          <w:rFonts w:hint="eastAsia" w:ascii="Arial" w:hAnsi="Arial" w:cs="Arial"/>
          <w:sz w:val="24"/>
          <w:szCs w:val="20"/>
        </w:rPr>
        <w:t>成交供应商应当自合同或补充合同签订之日起五个工作日内，将合同副本报采购代理机构备案。</w:t>
      </w:r>
    </w:p>
    <w:p>
      <w:pPr>
        <w:numPr>
          <w:ilvl w:val="0"/>
          <w:numId w:val="14"/>
        </w:numPr>
        <w:snapToGrid w:val="0"/>
        <w:spacing w:line="360" w:lineRule="auto"/>
        <w:rPr>
          <w:rFonts w:ascii="Arial" w:hAnsi="Arial" w:eastAsia="黑体"/>
          <w:sz w:val="24"/>
          <w:szCs w:val="20"/>
        </w:rPr>
      </w:pPr>
      <w:r>
        <w:rPr>
          <w:rFonts w:hint="eastAsia" w:ascii="Arial" w:hAnsi="Arial" w:eastAsia="黑体"/>
          <w:sz w:val="24"/>
          <w:szCs w:val="20"/>
        </w:rPr>
        <w:t>代理服务费</w:t>
      </w:r>
    </w:p>
    <w:p>
      <w:pPr>
        <w:numPr>
          <w:ilvl w:val="0"/>
          <w:numId w:val="42"/>
        </w:numPr>
        <w:snapToGrid w:val="0"/>
        <w:spacing w:line="360" w:lineRule="auto"/>
        <w:rPr>
          <w:rFonts w:ascii="Arial" w:hAnsi="Arial"/>
          <w:sz w:val="24"/>
          <w:szCs w:val="20"/>
        </w:rPr>
      </w:pPr>
      <w:r>
        <w:rPr>
          <w:rFonts w:hint="eastAsia" w:ascii="Arial" w:hAnsi="Arial" w:cs="Arial"/>
          <w:sz w:val="24"/>
        </w:rPr>
        <w:t>成交供应商在领取成交通知书的同时，</w:t>
      </w:r>
      <w:r>
        <w:rPr>
          <w:rFonts w:ascii="Arial" w:hAnsi="Arial" w:cs="Arial"/>
          <w:sz w:val="24"/>
        </w:rPr>
        <w:t>须按照</w:t>
      </w:r>
      <w:r>
        <w:rPr>
          <w:rFonts w:hint="eastAsia" w:ascii="Arial" w:hAnsi="Arial" w:eastAsia="黑体" w:cs="Arial"/>
          <w:sz w:val="24"/>
        </w:rPr>
        <w:t>磋商</w:t>
      </w:r>
      <w:r>
        <w:rPr>
          <w:rFonts w:ascii="Arial" w:hAnsi="Arial" w:eastAsia="黑体" w:cs="Arial"/>
          <w:sz w:val="24"/>
        </w:rPr>
        <w:t>资料表</w:t>
      </w:r>
      <w:r>
        <w:rPr>
          <w:rFonts w:hint="eastAsia" w:ascii="Arial" w:hAnsi="Arial" w:eastAsia="黑体" w:cs="Arial"/>
          <w:sz w:val="24"/>
          <w:u w:val="single"/>
        </w:rPr>
        <w:t>第12条</w:t>
      </w:r>
      <w:r>
        <w:rPr>
          <w:rFonts w:ascii="Arial" w:hAnsi="Arial" w:cs="Arial"/>
          <w:sz w:val="24"/>
        </w:rPr>
        <w:t>规定的</w:t>
      </w:r>
      <w:r>
        <w:rPr>
          <w:rFonts w:hint="eastAsia" w:ascii="Arial" w:hAnsi="Arial" w:cs="Arial"/>
          <w:sz w:val="24"/>
        </w:rPr>
        <w:t>标准</w:t>
      </w:r>
      <w:r>
        <w:rPr>
          <w:rFonts w:ascii="Arial" w:hAnsi="Arial" w:cs="Arial"/>
          <w:sz w:val="24"/>
        </w:rPr>
        <w:t>向</w:t>
      </w:r>
      <w:r>
        <w:rPr>
          <w:rFonts w:hint="eastAsia" w:ascii="Arial" w:hAnsi="Arial" w:cs="Arial"/>
          <w:sz w:val="24"/>
        </w:rPr>
        <w:t>采购代理</w:t>
      </w:r>
      <w:r>
        <w:rPr>
          <w:rFonts w:ascii="Arial" w:hAnsi="Arial" w:cs="Arial"/>
          <w:sz w:val="24"/>
        </w:rPr>
        <w:t>机构支付代理服务费。</w:t>
      </w:r>
    </w:p>
    <w:p>
      <w:pPr>
        <w:numPr>
          <w:ilvl w:val="0"/>
          <w:numId w:val="14"/>
        </w:numPr>
        <w:snapToGrid w:val="0"/>
        <w:spacing w:line="360" w:lineRule="auto"/>
        <w:rPr>
          <w:rFonts w:ascii="Arial" w:hAnsi="Arial" w:eastAsia="黑体"/>
          <w:sz w:val="24"/>
          <w:szCs w:val="20"/>
        </w:rPr>
      </w:pPr>
      <w:r>
        <w:rPr>
          <w:rFonts w:ascii="Arial" w:hAnsi="Arial" w:eastAsia="黑体"/>
          <w:sz w:val="24"/>
          <w:szCs w:val="20"/>
        </w:rPr>
        <w:t>履约</w:t>
      </w:r>
      <w:bookmarkEnd w:id="147"/>
      <w:bookmarkEnd w:id="148"/>
      <w:r>
        <w:rPr>
          <w:rFonts w:ascii="Arial" w:hAnsi="Arial" w:eastAsia="黑体"/>
          <w:sz w:val="24"/>
          <w:szCs w:val="20"/>
        </w:rPr>
        <w:t>保证金</w:t>
      </w:r>
      <w:bookmarkEnd w:id="149"/>
      <w:bookmarkEnd w:id="150"/>
      <w:bookmarkEnd w:id="151"/>
    </w:p>
    <w:p>
      <w:pPr>
        <w:pStyle w:val="45"/>
        <w:numPr>
          <w:ilvl w:val="0"/>
          <w:numId w:val="6"/>
        </w:numPr>
        <w:adjustRightInd w:val="0"/>
        <w:snapToGrid w:val="0"/>
        <w:spacing w:line="360" w:lineRule="auto"/>
        <w:ind w:left="480" w:hanging="480" w:hangingChars="200"/>
        <w:rPr>
          <w:rFonts w:ascii="Arial" w:hAnsi="Arial" w:cs="Arial"/>
          <w:sz w:val="24"/>
          <w:szCs w:val="24"/>
        </w:rPr>
      </w:pPr>
      <w:r>
        <w:rPr>
          <w:rFonts w:ascii="Arial" w:hAnsi="Arial" w:cs="Arial"/>
          <w:sz w:val="24"/>
          <w:szCs w:val="24"/>
        </w:rPr>
        <w:t>中标人应按照</w:t>
      </w:r>
      <w:r>
        <w:rPr>
          <w:rFonts w:ascii="Arial" w:hAnsi="Arial" w:eastAsia="黑体" w:cs="Arial"/>
          <w:sz w:val="24"/>
        </w:rPr>
        <w:t>磋商资料表</w:t>
      </w:r>
      <w:r>
        <w:rPr>
          <w:rFonts w:ascii="Arial" w:hAnsi="Arial" w:eastAsia="黑体" w:cs="Arial"/>
          <w:sz w:val="24"/>
          <w:u w:val="single"/>
        </w:rPr>
        <w:t>第14条</w:t>
      </w:r>
      <w:r>
        <w:rPr>
          <w:rFonts w:ascii="Arial" w:hAnsi="Arial" w:cs="Arial"/>
          <w:sz w:val="24"/>
          <w:szCs w:val="24"/>
        </w:rPr>
        <w:t>规定向招标人提供履约保证金。</w:t>
      </w:r>
    </w:p>
    <w:p>
      <w:pPr>
        <w:pStyle w:val="45"/>
        <w:numPr>
          <w:ilvl w:val="0"/>
          <w:numId w:val="6"/>
        </w:numPr>
        <w:adjustRightInd w:val="0"/>
        <w:snapToGrid w:val="0"/>
        <w:spacing w:line="360" w:lineRule="auto"/>
        <w:ind w:left="480" w:hanging="480" w:hangingChars="200"/>
        <w:rPr>
          <w:rFonts w:ascii="Arial" w:hAnsi="Arial" w:cs="Arial"/>
          <w:sz w:val="24"/>
          <w:szCs w:val="24"/>
        </w:rPr>
      </w:pPr>
      <w:r>
        <w:rPr>
          <w:rFonts w:ascii="Arial" w:hAnsi="Arial" w:cs="Arial"/>
          <w:sz w:val="24"/>
          <w:szCs w:val="24"/>
        </w:rPr>
        <w:t>如果中标人应交而未交履约保证金的，招标代理机构和招标人将有权取消其中标资格，并不退还其磋商保证金。</w:t>
      </w:r>
      <w:r>
        <w:rPr>
          <w:rFonts w:ascii="Arial" w:hAnsi="Arial" w:cs="Arial"/>
          <w:sz w:val="24"/>
        </w:rPr>
        <w:t>招标</w:t>
      </w:r>
      <w:r>
        <w:rPr>
          <w:rFonts w:ascii="Arial" w:hAnsi="Arial" w:cs="Arial"/>
          <w:sz w:val="24"/>
          <w:szCs w:val="24"/>
        </w:rPr>
        <w:t>人可以按照评标报告推荐的中标候选人名单排序，确定下一候选人为中标</w:t>
      </w:r>
      <w:r>
        <w:rPr>
          <w:rFonts w:ascii="Arial" w:hAnsi="Arial" w:cs="Arial"/>
          <w:sz w:val="24"/>
        </w:rPr>
        <w:t>人</w:t>
      </w:r>
      <w:r>
        <w:rPr>
          <w:rFonts w:ascii="Arial" w:hAnsi="Arial" w:cs="Arial"/>
          <w:sz w:val="24"/>
          <w:szCs w:val="24"/>
        </w:rPr>
        <w:t>，也可以重新开展采购活动。</w:t>
      </w:r>
    </w:p>
    <w:p>
      <w:pPr>
        <w:numPr>
          <w:ilvl w:val="0"/>
          <w:numId w:val="14"/>
        </w:numPr>
        <w:snapToGrid w:val="0"/>
        <w:spacing w:line="360" w:lineRule="auto"/>
        <w:rPr>
          <w:rFonts w:ascii="Arial" w:hAnsi="Arial" w:eastAsia="黑体"/>
          <w:sz w:val="24"/>
          <w:szCs w:val="20"/>
        </w:rPr>
      </w:pPr>
      <w:bookmarkStart w:id="251" w:name="_Toc25475041"/>
      <w:bookmarkStart w:id="252" w:name="_Toc50895822"/>
      <w:bookmarkStart w:id="253" w:name="_Toc50985474"/>
      <w:bookmarkStart w:id="254" w:name="_Toc50985606"/>
      <w:bookmarkStart w:id="255" w:name="_Toc50985738"/>
      <w:bookmarkStart w:id="256" w:name="_Toc52175474"/>
      <w:bookmarkStart w:id="257" w:name="_Toc86550763"/>
      <w:bookmarkStart w:id="258" w:name="_Toc163975555"/>
      <w:bookmarkStart w:id="259" w:name="_Toc163975718"/>
      <w:bookmarkStart w:id="260" w:name="_Toc163975861"/>
      <w:bookmarkStart w:id="261" w:name="_Toc163975919"/>
      <w:bookmarkStart w:id="262" w:name="_Toc163975980"/>
      <w:bookmarkStart w:id="263" w:name="_Toc163976163"/>
      <w:bookmarkStart w:id="264" w:name="_Toc167105241"/>
      <w:bookmarkStart w:id="265" w:name="_Toc184437988"/>
      <w:bookmarkStart w:id="266" w:name="_Toc185151116"/>
      <w:bookmarkStart w:id="267" w:name="_Toc185326895"/>
      <w:bookmarkStart w:id="268" w:name="_Toc235608916"/>
      <w:bookmarkStart w:id="269" w:name="_Toc238962553"/>
      <w:bookmarkStart w:id="270" w:name="_Toc239591177"/>
      <w:bookmarkStart w:id="271" w:name="_Toc288679130"/>
      <w:bookmarkStart w:id="272" w:name="_Toc362366053"/>
      <w:bookmarkStart w:id="273" w:name="_Toc481468346"/>
      <w:r>
        <w:rPr>
          <w:rFonts w:ascii="Arial" w:hAnsi="Arial" w:eastAsia="黑体"/>
          <w:sz w:val="24"/>
          <w:szCs w:val="20"/>
        </w:rPr>
        <w:t>保密条款</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45"/>
        <w:numPr>
          <w:ilvl w:val="0"/>
          <w:numId w:val="2"/>
        </w:numPr>
        <w:adjustRightInd w:val="0"/>
        <w:snapToGrid w:val="0"/>
        <w:spacing w:line="360" w:lineRule="auto"/>
        <w:ind w:left="480" w:hanging="480" w:hangingChars="200"/>
        <w:rPr>
          <w:rFonts w:ascii="Arial" w:hAnsi="Arial" w:cs="Arial"/>
          <w:sz w:val="24"/>
          <w:szCs w:val="24"/>
        </w:rPr>
      </w:pPr>
      <w:r>
        <w:rPr>
          <w:rFonts w:ascii="Arial" w:hAnsi="Arial" w:cs="Arial"/>
          <w:sz w:val="24"/>
          <w:szCs w:val="24"/>
        </w:rPr>
        <w:t>除了供应商为投标所雇人员外，在未经招标人书面同意的情况下，供应商不得将本项目、与项目中相关的任何内容、资料（包括书面和磁介质资料，下同）透露给任何人。否则，供应商必须承担因此给招标人造成的一切经济损失，招标人保留追究其法律责任的权利。供应商须在对外保密的前提下，对其从事本项目投标的雇用人员提供有关情况，所提供的情况仅限于执行投标必不可少的范围内。</w:t>
      </w:r>
    </w:p>
    <w:p>
      <w:pPr>
        <w:pStyle w:val="45"/>
        <w:numPr>
          <w:ilvl w:val="0"/>
          <w:numId w:val="2"/>
        </w:numPr>
        <w:adjustRightInd w:val="0"/>
        <w:snapToGrid w:val="0"/>
        <w:spacing w:line="360" w:lineRule="auto"/>
        <w:ind w:left="480" w:hanging="480" w:hangingChars="200"/>
        <w:rPr>
          <w:rFonts w:ascii="Arial" w:hAnsi="Arial" w:cs="Arial"/>
          <w:sz w:val="24"/>
          <w:szCs w:val="24"/>
        </w:rPr>
      </w:pPr>
      <w:r>
        <w:rPr>
          <w:rFonts w:ascii="Arial" w:hAnsi="Arial" w:cs="Arial"/>
          <w:sz w:val="24"/>
          <w:szCs w:val="24"/>
        </w:rPr>
        <w:t>除非执行合同需要，在事先未得到招标人书面同意的情况下，供应商不得使用本招标书中所提供的任何文件和资料。</w:t>
      </w:r>
    </w:p>
    <w:p>
      <w:pPr>
        <w:pStyle w:val="45"/>
        <w:numPr>
          <w:ilvl w:val="0"/>
          <w:numId w:val="2"/>
        </w:numPr>
        <w:adjustRightInd w:val="0"/>
        <w:snapToGrid w:val="0"/>
        <w:spacing w:line="360" w:lineRule="auto"/>
        <w:ind w:left="480" w:hanging="480" w:hangingChars="200"/>
        <w:rPr>
          <w:rFonts w:ascii="Arial" w:hAnsi="Arial" w:cs="Arial"/>
          <w:sz w:val="24"/>
          <w:szCs w:val="24"/>
        </w:rPr>
      </w:pPr>
      <w:r>
        <w:rPr>
          <w:rFonts w:ascii="Arial" w:hAnsi="Arial" w:cs="Arial"/>
          <w:sz w:val="24"/>
          <w:szCs w:val="24"/>
        </w:rPr>
        <w:t>招标人对供应商提交的文件将给予保密，但不退还。</w:t>
      </w:r>
    </w:p>
    <w:p>
      <w:pPr>
        <w:pStyle w:val="3"/>
        <w:rPr>
          <w:rFonts w:ascii="Arial" w:hAnsi="Arial" w:cs="Arial"/>
          <w:color w:val="auto"/>
        </w:rPr>
        <w:sectPr>
          <w:headerReference r:id="rId10" w:type="default"/>
          <w:type w:val="continuous"/>
          <w:pgSz w:w="11906" w:h="16838"/>
          <w:pgMar w:top="1247" w:right="1247" w:bottom="1247" w:left="1247" w:header="851" w:footer="992" w:gutter="0"/>
          <w:cols w:space="720" w:num="1"/>
          <w:titlePg/>
          <w:docGrid w:linePitch="312" w:charSpace="0"/>
        </w:sectPr>
      </w:pPr>
    </w:p>
    <w:bookmarkEnd w:id="139"/>
    <w:p>
      <w:pPr>
        <w:pStyle w:val="3"/>
        <w:rPr>
          <w:rFonts w:ascii="Arial" w:hAnsi="Arial" w:cs="Arial"/>
          <w:color w:val="auto"/>
        </w:rPr>
      </w:pPr>
      <w:r>
        <w:rPr>
          <w:color w:val="auto"/>
        </w:rPr>
        <w:fldChar w:fldCharType="begin"/>
      </w:r>
      <w:r>
        <w:rPr>
          <w:color w:val="auto"/>
        </w:rPr>
        <w:instrText xml:space="preserve"> HYPERLINK \l "_第七章__" </w:instrText>
      </w:r>
      <w:r>
        <w:rPr>
          <w:color w:val="auto"/>
        </w:rPr>
        <w:fldChar w:fldCharType="separate"/>
      </w:r>
      <w:bookmarkStart w:id="274" w:name="_Toc184438011"/>
      <w:bookmarkStart w:id="275" w:name="_Toc185151139"/>
      <w:bookmarkStart w:id="276" w:name="_Toc185326917"/>
      <w:bookmarkStart w:id="277" w:name="_Toc238962560"/>
      <w:bookmarkStart w:id="278" w:name="_Toc219600817"/>
      <w:bookmarkStart w:id="279" w:name="_Toc235608923"/>
      <w:bookmarkStart w:id="280" w:name="_Toc92357014"/>
      <w:bookmarkStart w:id="281" w:name="_Toc92965931"/>
      <w:r>
        <w:rPr>
          <w:rFonts w:ascii="Arial" w:hAnsi="Arial" w:cs="Arial"/>
          <w:color w:val="auto"/>
        </w:rPr>
        <w:t>第三章</w:t>
      </w:r>
      <w:bookmarkEnd w:id="274"/>
      <w:bookmarkEnd w:id="275"/>
      <w:bookmarkEnd w:id="276"/>
      <w:bookmarkEnd w:id="277"/>
      <w:bookmarkEnd w:id="278"/>
      <w:bookmarkEnd w:id="279"/>
      <w:r>
        <w:rPr>
          <w:rFonts w:ascii="Arial" w:hAnsi="Arial" w:cs="Arial"/>
          <w:color w:val="auto"/>
        </w:rPr>
        <w:fldChar w:fldCharType="end"/>
      </w:r>
      <w:bookmarkStart w:id="282" w:name="_Hlt524842622"/>
      <w:bookmarkEnd w:id="282"/>
      <w:bookmarkStart w:id="283" w:name="_Hlt509111907"/>
      <w:bookmarkEnd w:id="283"/>
      <w:bookmarkStart w:id="284" w:name="_Toc163975981"/>
      <w:bookmarkStart w:id="285" w:name="_Toc521201598"/>
      <w:bookmarkStart w:id="286" w:name="_Toc235608917"/>
      <w:bookmarkStart w:id="287" w:name="_Toc238962554"/>
      <w:bookmarkStart w:id="288" w:name="_Toc185326896"/>
      <w:bookmarkStart w:id="289" w:name="_Toc219600811"/>
      <w:bookmarkStart w:id="290" w:name="_Toc184437989"/>
      <w:bookmarkStart w:id="291" w:name="_Toc185151117"/>
      <w:bookmarkStart w:id="292" w:name="_Toc163976164"/>
      <w:bookmarkStart w:id="293" w:name="_Toc167105242"/>
      <w:bookmarkStart w:id="294" w:name="_Toc163975719"/>
      <w:bookmarkStart w:id="295" w:name="_Toc163975792"/>
      <w:bookmarkStart w:id="296" w:name="_Toc163975189"/>
      <w:bookmarkStart w:id="297" w:name="_Toc163975556"/>
      <w:bookmarkStart w:id="298" w:name="_Toc83810511"/>
      <w:bookmarkStart w:id="299" w:name="_Toc83810782"/>
      <w:bookmarkStart w:id="300" w:name="_Toc83809635"/>
      <w:bookmarkStart w:id="301" w:name="_Toc83809759"/>
      <w:bookmarkStart w:id="302" w:name="_Toc82485145"/>
      <w:bookmarkStart w:id="303" w:name="_Toc82502364"/>
      <w:bookmarkStart w:id="304" w:name="_Toc82328637"/>
      <w:bookmarkStart w:id="305" w:name="_Toc82246252"/>
      <w:bookmarkStart w:id="306" w:name="_Toc80582202"/>
      <w:bookmarkStart w:id="307" w:name="_Toc82246196"/>
      <w:bookmarkStart w:id="308" w:name="_Toc70081319"/>
      <w:bookmarkStart w:id="309" w:name="_Toc67131244"/>
      <w:bookmarkStart w:id="310" w:name="_Toc70081222"/>
      <w:bookmarkStart w:id="311" w:name="_Toc50985475"/>
      <w:bookmarkStart w:id="312" w:name="_Toc50985652"/>
      <w:bookmarkStart w:id="313" w:name="_Toc11554640"/>
      <w:bookmarkStart w:id="314" w:name="_Toc11555194"/>
      <w:bookmarkStart w:id="315" w:name="_Toc11499585"/>
      <w:bookmarkStart w:id="316" w:name="_Toc11500281"/>
      <w:bookmarkStart w:id="317" w:name="_Toc521203419"/>
      <w:bookmarkStart w:id="318" w:name="_Toc8895740"/>
      <w:bookmarkStart w:id="319" w:name="_Toc21916302"/>
      <w:bookmarkStart w:id="320" w:name="_Toc21916234"/>
      <w:bookmarkStart w:id="321" w:name="_Toc24342011"/>
      <w:bookmarkStart w:id="322" w:name="_Toc21916435"/>
      <w:bookmarkStart w:id="323" w:name="_Toc9303268"/>
      <w:bookmarkStart w:id="324" w:name="_Toc24342875"/>
      <w:bookmarkStart w:id="325" w:name="_Toc21854782"/>
      <w:bookmarkStart w:id="326" w:name="_Toc21861905"/>
      <w:r>
        <w:rPr>
          <w:rFonts w:ascii="Arial" w:hAnsi="Arial" w:cs="Arial"/>
          <w:color w:val="auto"/>
        </w:rPr>
        <w:t xml:space="preserve"> 评标标准和评标方法</w:t>
      </w:r>
      <w:bookmarkEnd w:id="280"/>
      <w:bookmarkEnd w:id="281"/>
    </w:p>
    <w:p>
      <w:pPr>
        <w:spacing w:line="360" w:lineRule="auto"/>
        <w:rPr>
          <w:rFonts w:ascii="Arial" w:hAnsi="Arial" w:cs="Arial"/>
          <w:sz w:val="24"/>
        </w:rPr>
      </w:pPr>
    </w:p>
    <w:p>
      <w:pPr>
        <w:pStyle w:val="132"/>
        <w:numPr>
          <w:ilvl w:val="0"/>
          <w:numId w:val="4"/>
        </w:numPr>
        <w:spacing w:line="360" w:lineRule="auto"/>
        <w:ind w:firstLineChars="0"/>
        <w:rPr>
          <w:rFonts w:ascii="Arial" w:hAnsi="Arial" w:cs="Arial"/>
          <w:b/>
          <w:sz w:val="24"/>
        </w:rPr>
      </w:pPr>
      <w:r>
        <w:rPr>
          <w:rFonts w:ascii="Arial" w:hAnsi="Arial" w:cs="Arial"/>
          <w:b/>
          <w:sz w:val="24"/>
        </w:rPr>
        <w:t>评标方法</w:t>
      </w:r>
    </w:p>
    <w:p>
      <w:pPr>
        <w:spacing w:line="360" w:lineRule="auto"/>
        <w:ind w:firstLine="480" w:firstLineChars="200"/>
        <w:rPr>
          <w:rFonts w:ascii="Arial" w:hAnsi="Arial" w:cs="Arial"/>
          <w:sz w:val="24"/>
        </w:rPr>
      </w:pPr>
      <w:r>
        <w:rPr>
          <w:rFonts w:ascii="Arial" w:hAnsi="Arial" w:cs="Arial"/>
          <w:sz w:val="24"/>
        </w:rPr>
        <w:t>本次评标采用综合评分法。每一供应商的最终得分为所有评委给其评分的算术平均值。</w:t>
      </w:r>
    </w:p>
    <w:p>
      <w:pPr>
        <w:spacing w:line="360" w:lineRule="auto"/>
        <w:ind w:firstLine="480"/>
        <w:rPr>
          <w:rFonts w:ascii="Arial" w:hAnsi="Arial" w:cs="Arial"/>
          <w:sz w:val="24"/>
        </w:rPr>
      </w:pPr>
      <w:r>
        <w:rPr>
          <w:rFonts w:ascii="Arial" w:hAnsi="Arial" w:cs="Arial"/>
          <w:sz w:val="24"/>
        </w:rPr>
        <w:t>本项目评分标准为：</w:t>
      </w: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5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85" w:type="dxa"/>
            <w:vAlign w:val="center"/>
          </w:tcPr>
          <w:p>
            <w:pPr>
              <w:tabs>
                <w:tab w:val="left" w:pos="645"/>
              </w:tabs>
              <w:adjustRightInd w:val="0"/>
              <w:snapToGrid w:val="0"/>
              <w:spacing w:line="276" w:lineRule="auto"/>
              <w:jc w:val="center"/>
              <w:rPr>
                <w:rFonts w:ascii="Arial" w:hAnsi="Arial" w:eastAsia="黑体" w:cs="Arial"/>
                <w:sz w:val="24"/>
              </w:rPr>
            </w:pPr>
            <w:r>
              <w:rPr>
                <w:rFonts w:ascii="Arial" w:hAnsi="Arial" w:eastAsia="黑体" w:cs="Arial"/>
                <w:sz w:val="24"/>
              </w:rPr>
              <w:t>评分因素</w:t>
            </w:r>
          </w:p>
        </w:tc>
        <w:tc>
          <w:tcPr>
            <w:tcW w:w="5033" w:type="dxa"/>
            <w:vAlign w:val="center"/>
          </w:tcPr>
          <w:p>
            <w:pPr>
              <w:tabs>
                <w:tab w:val="left" w:pos="645"/>
              </w:tabs>
              <w:adjustRightInd w:val="0"/>
              <w:snapToGrid w:val="0"/>
              <w:spacing w:line="276" w:lineRule="auto"/>
              <w:jc w:val="center"/>
              <w:rPr>
                <w:rFonts w:ascii="Arial" w:hAnsi="Arial" w:eastAsia="黑体" w:cs="Arial"/>
                <w:sz w:val="24"/>
              </w:rPr>
            </w:pPr>
            <w:r>
              <w:rPr>
                <w:rFonts w:ascii="Arial" w:hAnsi="Arial" w:eastAsia="黑体" w:cs="Arial"/>
                <w:sz w:val="24"/>
              </w:rPr>
              <w:t>分值分配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Align w:val="center"/>
          </w:tcPr>
          <w:p>
            <w:pPr>
              <w:tabs>
                <w:tab w:val="left" w:pos="645"/>
              </w:tabs>
              <w:adjustRightInd w:val="0"/>
              <w:snapToGrid w:val="0"/>
              <w:spacing w:line="276" w:lineRule="auto"/>
              <w:jc w:val="center"/>
              <w:rPr>
                <w:rFonts w:ascii="Arial" w:hAnsi="Arial" w:cs="Arial"/>
                <w:sz w:val="24"/>
              </w:rPr>
            </w:pPr>
            <w:r>
              <w:rPr>
                <w:rFonts w:ascii="Arial" w:hAnsi="宋体" w:cs="Arial"/>
                <w:sz w:val="24"/>
              </w:rPr>
              <w:t>投标报价</w:t>
            </w:r>
          </w:p>
        </w:tc>
        <w:tc>
          <w:tcPr>
            <w:tcW w:w="5033" w:type="dxa"/>
            <w:vAlign w:val="center"/>
          </w:tcPr>
          <w:p>
            <w:pPr>
              <w:tabs>
                <w:tab w:val="left" w:pos="645"/>
              </w:tabs>
              <w:adjustRightInd w:val="0"/>
              <w:snapToGrid w:val="0"/>
              <w:spacing w:line="276" w:lineRule="auto"/>
              <w:jc w:val="center"/>
              <w:rPr>
                <w:rFonts w:ascii="Arial" w:hAnsi="Arial" w:cs="Arial"/>
                <w:sz w:val="24"/>
              </w:rPr>
            </w:pPr>
            <w:r>
              <w:rPr>
                <w:rFonts w:hint="eastAsia" w:ascii="Arial" w:hAnsi="Arial" w:cs="Arial"/>
                <w:sz w:val="24"/>
              </w:rPr>
              <w:t>3</w:t>
            </w:r>
            <w:r>
              <w:rPr>
                <w:rFonts w:ascii="Arial" w:hAnsi="Arial" w:cs="Arial"/>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Align w:val="center"/>
          </w:tcPr>
          <w:p>
            <w:pPr>
              <w:tabs>
                <w:tab w:val="left" w:pos="645"/>
              </w:tabs>
              <w:adjustRightInd w:val="0"/>
              <w:snapToGrid w:val="0"/>
              <w:spacing w:line="276" w:lineRule="auto"/>
              <w:jc w:val="center"/>
              <w:rPr>
                <w:rFonts w:ascii="Arial" w:hAnsi="Arial" w:cs="Arial"/>
                <w:sz w:val="24"/>
              </w:rPr>
            </w:pPr>
            <w:r>
              <w:rPr>
                <w:rFonts w:ascii="Arial" w:hAnsi="宋体" w:cs="Arial"/>
                <w:sz w:val="24"/>
              </w:rPr>
              <w:t>商务部分</w:t>
            </w:r>
          </w:p>
        </w:tc>
        <w:tc>
          <w:tcPr>
            <w:tcW w:w="5033" w:type="dxa"/>
            <w:vAlign w:val="center"/>
          </w:tcPr>
          <w:p>
            <w:pPr>
              <w:tabs>
                <w:tab w:val="left" w:pos="645"/>
              </w:tabs>
              <w:adjustRightInd w:val="0"/>
              <w:snapToGrid w:val="0"/>
              <w:spacing w:line="276" w:lineRule="auto"/>
              <w:jc w:val="center"/>
              <w:rPr>
                <w:rFonts w:ascii="Arial" w:hAnsi="Arial" w:cs="Arial"/>
                <w:sz w:val="24"/>
              </w:rPr>
            </w:pPr>
            <w:r>
              <w:rPr>
                <w:rFonts w:hint="eastAsia" w:ascii="Arial" w:hAnsi="Arial" w:cs="Arial"/>
                <w:sz w:val="24"/>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Align w:val="center"/>
          </w:tcPr>
          <w:p>
            <w:pPr>
              <w:tabs>
                <w:tab w:val="left" w:pos="645"/>
              </w:tabs>
              <w:adjustRightInd w:val="0"/>
              <w:snapToGrid w:val="0"/>
              <w:spacing w:line="276" w:lineRule="auto"/>
              <w:jc w:val="center"/>
              <w:rPr>
                <w:rFonts w:ascii="Arial" w:hAnsi="Arial" w:cs="Arial"/>
                <w:sz w:val="24"/>
              </w:rPr>
            </w:pPr>
            <w:r>
              <w:rPr>
                <w:rFonts w:ascii="Arial" w:hAnsi="宋体" w:cs="Arial"/>
                <w:sz w:val="24"/>
              </w:rPr>
              <w:t>技术部分</w:t>
            </w:r>
          </w:p>
        </w:tc>
        <w:tc>
          <w:tcPr>
            <w:tcW w:w="5033" w:type="dxa"/>
            <w:vAlign w:val="center"/>
          </w:tcPr>
          <w:p>
            <w:pPr>
              <w:tabs>
                <w:tab w:val="left" w:pos="645"/>
              </w:tabs>
              <w:adjustRightInd w:val="0"/>
              <w:snapToGrid w:val="0"/>
              <w:spacing w:line="276" w:lineRule="auto"/>
              <w:jc w:val="center"/>
              <w:rPr>
                <w:rFonts w:ascii="Arial" w:hAnsi="Arial" w:cs="Arial"/>
                <w:sz w:val="24"/>
              </w:rPr>
            </w:pPr>
            <w:r>
              <w:rPr>
                <w:rFonts w:hint="eastAsia" w:ascii="Arial" w:hAnsi="Arial" w:cs="Arial"/>
                <w:sz w:val="24"/>
              </w:rPr>
              <w:t>6</w:t>
            </w:r>
            <w:r>
              <w:rPr>
                <w:rFonts w:ascii="Arial" w:hAnsi="Arial" w:cs="Arial"/>
                <w:sz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Align w:val="center"/>
          </w:tcPr>
          <w:p>
            <w:pPr>
              <w:tabs>
                <w:tab w:val="left" w:pos="645"/>
              </w:tabs>
              <w:adjustRightInd w:val="0"/>
              <w:snapToGrid w:val="0"/>
              <w:spacing w:line="276" w:lineRule="auto"/>
              <w:jc w:val="center"/>
              <w:rPr>
                <w:rFonts w:ascii="Arial" w:hAnsi="Arial" w:cs="Arial"/>
                <w:sz w:val="24"/>
              </w:rPr>
            </w:pPr>
            <w:r>
              <w:rPr>
                <w:rFonts w:ascii="Arial" w:hAnsi="宋体" w:cs="Arial"/>
                <w:sz w:val="24"/>
              </w:rPr>
              <w:t>合计</w:t>
            </w:r>
          </w:p>
        </w:tc>
        <w:tc>
          <w:tcPr>
            <w:tcW w:w="5033" w:type="dxa"/>
            <w:vAlign w:val="center"/>
          </w:tcPr>
          <w:p>
            <w:pPr>
              <w:tabs>
                <w:tab w:val="left" w:pos="645"/>
              </w:tabs>
              <w:adjustRightInd w:val="0"/>
              <w:snapToGrid w:val="0"/>
              <w:spacing w:line="276" w:lineRule="auto"/>
              <w:jc w:val="center"/>
              <w:rPr>
                <w:rFonts w:ascii="Arial" w:hAnsi="Arial" w:cs="Arial"/>
                <w:sz w:val="24"/>
              </w:rPr>
            </w:pPr>
            <w:r>
              <w:rPr>
                <w:rFonts w:hint="eastAsia" w:ascii="Arial" w:hAnsi="Arial" w:cs="Arial"/>
                <w:sz w:val="24"/>
              </w:rPr>
              <w:t>1</w:t>
            </w:r>
            <w:r>
              <w:rPr>
                <w:rFonts w:ascii="Arial" w:hAnsi="Arial" w:cs="Arial"/>
                <w:sz w:val="24"/>
              </w:rPr>
              <w:t>00</w:t>
            </w:r>
          </w:p>
        </w:tc>
      </w:tr>
    </w:tbl>
    <w:p>
      <w:pPr>
        <w:spacing w:line="360" w:lineRule="auto"/>
        <w:rPr>
          <w:rFonts w:ascii="Arial" w:hAnsi="Arial" w:cs="Arial"/>
          <w:b/>
          <w:sz w:val="24"/>
        </w:rPr>
      </w:pPr>
    </w:p>
    <w:p>
      <w:pPr>
        <w:pStyle w:val="132"/>
        <w:numPr>
          <w:ilvl w:val="0"/>
          <w:numId w:val="4"/>
        </w:numPr>
        <w:spacing w:line="360" w:lineRule="auto"/>
        <w:ind w:firstLineChars="0"/>
        <w:rPr>
          <w:rFonts w:ascii="Arial" w:hAnsi="Arial" w:cs="Arial"/>
          <w:b/>
          <w:sz w:val="24"/>
        </w:rPr>
      </w:pPr>
      <w:r>
        <w:rPr>
          <w:rFonts w:ascii="Arial" w:hAnsi="Arial" w:cs="Arial"/>
          <w:b/>
          <w:sz w:val="24"/>
        </w:rPr>
        <w:t>评分因素</w:t>
      </w:r>
    </w:p>
    <w:p>
      <w:pPr>
        <w:spacing w:line="300" w:lineRule="auto"/>
        <w:rPr>
          <w:b/>
          <w:bCs/>
        </w:rPr>
      </w:pPr>
      <w:r>
        <w:rPr>
          <w:b/>
          <w:bCs/>
        </w:rPr>
        <w:t>1 价格得分（30分）</w:t>
      </w:r>
    </w:p>
    <w:tbl>
      <w:tblPr>
        <w:tblStyle w:val="8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765"/>
        <w:gridCol w:w="709"/>
        <w:gridCol w:w="7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453" w:hRule="atLeast"/>
          <w:tblHeader/>
          <w:jc w:val="center"/>
        </w:trPr>
        <w:tc>
          <w:tcPr>
            <w:tcW w:w="17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b/>
                <w:bCs/>
                <w:sz w:val="24"/>
              </w:rPr>
            </w:pPr>
            <w:r>
              <w:rPr>
                <w:b/>
                <w:bCs/>
                <w:sz w:val="24"/>
              </w:rPr>
              <w:t>评分项目</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b/>
                <w:bCs/>
                <w:sz w:val="24"/>
              </w:rPr>
            </w:pPr>
            <w:r>
              <w:rPr>
                <w:b/>
                <w:bCs/>
                <w:sz w:val="24"/>
              </w:rPr>
              <w:t>最高得分</w:t>
            </w:r>
          </w:p>
        </w:tc>
        <w:tc>
          <w:tcPr>
            <w:tcW w:w="706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b/>
                <w:bCs/>
                <w:sz w:val="24"/>
              </w:rPr>
            </w:pPr>
            <w:r>
              <w:rPr>
                <w:b/>
                <w:bCs/>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585" w:hRule="atLeast"/>
          <w:jc w:val="center"/>
        </w:trPr>
        <w:tc>
          <w:tcPr>
            <w:tcW w:w="1765" w:type="dxa"/>
            <w:tcBorders>
              <w:left w:val="single" w:color="auto" w:sz="6" w:space="0"/>
              <w:right w:val="single" w:color="auto" w:sz="6" w:space="0"/>
            </w:tcBorders>
            <w:vAlign w:val="center"/>
          </w:tcPr>
          <w:p>
            <w:pPr>
              <w:widowControl/>
              <w:snapToGrid w:val="0"/>
              <w:spacing w:line="300" w:lineRule="auto"/>
              <w:jc w:val="center"/>
              <w:rPr>
                <w:sz w:val="24"/>
              </w:rPr>
            </w:pPr>
            <w:r>
              <w:rPr>
                <w:rFonts w:hint="eastAsia"/>
                <w:sz w:val="24"/>
              </w:rPr>
              <w:t>1</w:t>
            </w:r>
            <w:r>
              <w:rPr>
                <w:sz w:val="24"/>
              </w:rPr>
              <w:t>.1</w:t>
            </w:r>
            <w:r>
              <w:rPr>
                <w:rFonts w:hint="eastAsia"/>
                <w:sz w:val="24"/>
              </w:rPr>
              <w:t>投标价格</w:t>
            </w:r>
          </w:p>
        </w:tc>
        <w:tc>
          <w:tcPr>
            <w:tcW w:w="709" w:type="dxa"/>
            <w:tcBorders>
              <w:left w:val="single" w:color="auto" w:sz="6" w:space="0"/>
              <w:right w:val="single" w:color="auto" w:sz="6" w:space="0"/>
            </w:tcBorders>
            <w:vAlign w:val="center"/>
          </w:tcPr>
          <w:p>
            <w:pPr>
              <w:widowControl/>
              <w:snapToGrid w:val="0"/>
              <w:spacing w:line="300" w:lineRule="auto"/>
              <w:jc w:val="center"/>
              <w:rPr>
                <w:sz w:val="24"/>
              </w:rPr>
            </w:pPr>
            <w:r>
              <w:rPr>
                <w:rFonts w:hint="eastAsia"/>
                <w:sz w:val="24"/>
              </w:rPr>
              <w:t>3</w:t>
            </w:r>
            <w:r>
              <w:rPr>
                <w:sz w:val="24"/>
              </w:rPr>
              <w:t>0</w:t>
            </w:r>
          </w:p>
        </w:tc>
        <w:tc>
          <w:tcPr>
            <w:tcW w:w="7065" w:type="dxa"/>
            <w:tcBorders>
              <w:top w:val="single" w:color="auto" w:sz="6" w:space="0"/>
              <w:left w:val="single" w:color="auto" w:sz="6" w:space="0"/>
              <w:bottom w:val="single" w:color="auto" w:sz="6" w:space="0"/>
              <w:right w:val="single" w:color="auto" w:sz="4" w:space="0"/>
            </w:tcBorders>
            <w:vAlign w:val="center"/>
          </w:tcPr>
          <w:p>
            <w:pPr>
              <w:widowControl/>
              <w:snapToGrid w:val="0"/>
              <w:spacing w:line="300" w:lineRule="auto"/>
              <w:jc w:val="left"/>
              <w:rPr>
                <w:sz w:val="24"/>
              </w:rPr>
            </w:pPr>
            <w:r>
              <w:rPr>
                <w:rFonts w:hint="eastAsia"/>
                <w:sz w:val="24"/>
              </w:rPr>
              <w:t>评标基准价：实质性响应磋商文件要求且以北京新发地市场（http：//www.xinfadi.com.cn/）所公布的每日价格行情的平均价为基准，评标价最低的为评标基准价，其价格分为满分。</w:t>
            </w:r>
          </w:p>
          <w:p>
            <w:pPr>
              <w:widowControl/>
              <w:snapToGrid w:val="0"/>
              <w:spacing w:line="300" w:lineRule="auto"/>
              <w:jc w:val="left"/>
              <w:rPr>
                <w:sz w:val="24"/>
              </w:rPr>
            </w:pPr>
            <w:r>
              <w:rPr>
                <w:rFonts w:hint="eastAsia"/>
                <w:sz w:val="24"/>
              </w:rPr>
              <w:t>其他供应商的价格分统一按照下列公式计算：</w:t>
            </w:r>
          </w:p>
          <w:p>
            <w:pPr>
              <w:widowControl/>
              <w:snapToGrid w:val="0"/>
              <w:spacing w:line="300" w:lineRule="auto"/>
              <w:jc w:val="left"/>
              <w:rPr>
                <w:sz w:val="24"/>
              </w:rPr>
            </w:pPr>
            <w:r>
              <w:rPr>
                <w:rFonts w:hint="eastAsia"/>
                <w:sz w:val="24"/>
              </w:rPr>
              <w:t>投标报价得分=（评标基准价/供应商评标价）×3</w:t>
            </w:r>
            <w:r>
              <w:rPr>
                <w:sz w:val="24"/>
              </w:rPr>
              <w:t>0</w:t>
            </w:r>
          </w:p>
          <w:p>
            <w:pPr>
              <w:widowControl/>
              <w:snapToGrid w:val="0"/>
              <w:spacing w:line="300" w:lineRule="auto"/>
              <w:jc w:val="left"/>
              <w:rPr>
                <w:sz w:val="24"/>
              </w:rPr>
            </w:pPr>
            <w:r>
              <w:rPr>
                <w:rFonts w:hint="eastAsia"/>
                <w:sz w:val="24"/>
              </w:rPr>
              <w:t>评标价=1+浮动百分比（其中上浮为正，下浮为负，例如上浮 1%，评标价为 1.01，下浮 1%，评标价为 0.99）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cantSplit/>
          <w:trHeight w:val="585" w:hRule="atLeast"/>
          <w:jc w:val="center"/>
        </w:trPr>
        <w:tc>
          <w:tcPr>
            <w:tcW w:w="1765" w:type="dxa"/>
            <w:tcBorders>
              <w:left w:val="single" w:color="auto" w:sz="6" w:space="0"/>
              <w:bottom w:val="single" w:color="auto" w:sz="6" w:space="0"/>
              <w:right w:val="single" w:color="auto" w:sz="6" w:space="0"/>
            </w:tcBorders>
            <w:vAlign w:val="center"/>
          </w:tcPr>
          <w:p>
            <w:pPr>
              <w:widowControl/>
              <w:snapToGrid w:val="0"/>
              <w:spacing w:line="300" w:lineRule="auto"/>
              <w:jc w:val="center"/>
              <w:rPr>
                <w:sz w:val="24"/>
              </w:rPr>
            </w:pPr>
            <w:r>
              <w:rPr>
                <w:rFonts w:hint="eastAsia"/>
                <w:sz w:val="24"/>
              </w:rPr>
              <w:t>合计</w:t>
            </w:r>
          </w:p>
        </w:tc>
        <w:tc>
          <w:tcPr>
            <w:tcW w:w="709" w:type="dxa"/>
            <w:tcBorders>
              <w:left w:val="single" w:color="auto" w:sz="6" w:space="0"/>
              <w:bottom w:val="single" w:color="auto" w:sz="6" w:space="0"/>
              <w:right w:val="single" w:color="auto" w:sz="6" w:space="0"/>
            </w:tcBorders>
            <w:vAlign w:val="center"/>
          </w:tcPr>
          <w:p>
            <w:pPr>
              <w:widowControl/>
              <w:snapToGrid w:val="0"/>
              <w:spacing w:line="300" w:lineRule="auto"/>
              <w:jc w:val="center"/>
              <w:rPr>
                <w:sz w:val="24"/>
              </w:rPr>
            </w:pPr>
            <w:r>
              <w:rPr>
                <w:rFonts w:hint="eastAsia"/>
                <w:sz w:val="24"/>
              </w:rPr>
              <w:t>3</w:t>
            </w:r>
            <w:r>
              <w:rPr>
                <w:sz w:val="24"/>
              </w:rPr>
              <w:t>0</w:t>
            </w:r>
          </w:p>
        </w:tc>
        <w:tc>
          <w:tcPr>
            <w:tcW w:w="7065" w:type="dxa"/>
            <w:tcBorders>
              <w:top w:val="single" w:color="auto" w:sz="6" w:space="0"/>
              <w:left w:val="single" w:color="auto" w:sz="6" w:space="0"/>
              <w:bottom w:val="single" w:color="auto" w:sz="6" w:space="0"/>
              <w:right w:val="single" w:color="auto" w:sz="4" w:space="0"/>
            </w:tcBorders>
            <w:vAlign w:val="center"/>
          </w:tcPr>
          <w:p>
            <w:pPr>
              <w:widowControl/>
              <w:snapToGrid w:val="0"/>
              <w:spacing w:line="300" w:lineRule="auto"/>
              <w:jc w:val="left"/>
              <w:rPr>
                <w:sz w:val="24"/>
              </w:rPr>
            </w:pPr>
          </w:p>
        </w:tc>
      </w:tr>
    </w:tbl>
    <w:p>
      <w:pPr>
        <w:spacing w:line="300" w:lineRule="auto"/>
      </w:pPr>
    </w:p>
    <w:p>
      <w:pPr>
        <w:spacing w:line="300" w:lineRule="auto"/>
        <w:rPr>
          <w:b/>
          <w:bCs/>
        </w:rPr>
      </w:pPr>
      <w:r>
        <w:rPr>
          <w:b/>
          <w:bCs/>
        </w:rPr>
        <w:t xml:space="preserve">2 </w:t>
      </w:r>
      <w:r>
        <w:rPr>
          <w:rFonts w:hint="eastAsia"/>
          <w:b/>
          <w:bCs/>
        </w:rPr>
        <w:t>商务部分</w:t>
      </w:r>
      <w:r>
        <w:rPr>
          <w:b/>
          <w:bCs/>
        </w:rPr>
        <w:t>（</w:t>
      </w:r>
      <w:r>
        <w:rPr>
          <w:rFonts w:hint="eastAsia"/>
          <w:b/>
          <w:bCs/>
        </w:rPr>
        <w:t>6</w:t>
      </w:r>
      <w:r>
        <w:rPr>
          <w:b/>
          <w:bCs/>
        </w:rPr>
        <w:t>分）</w:t>
      </w:r>
    </w:p>
    <w:tbl>
      <w:tblPr>
        <w:tblStyle w:val="88"/>
        <w:tblW w:w="95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742"/>
        <w:gridCol w:w="735"/>
        <w:gridCol w:w="7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tblHeader/>
          <w:jc w:val="center"/>
        </w:trPr>
        <w:tc>
          <w:tcPr>
            <w:tcW w:w="1742" w:type="dxa"/>
            <w:tcBorders>
              <w:top w:val="single" w:color="auto" w:sz="6" w:space="0"/>
              <w:left w:val="single" w:color="auto" w:sz="6" w:space="0"/>
              <w:right w:val="single" w:color="auto" w:sz="6" w:space="0"/>
            </w:tcBorders>
            <w:vAlign w:val="center"/>
          </w:tcPr>
          <w:p>
            <w:pPr>
              <w:adjustRightInd w:val="0"/>
              <w:snapToGrid w:val="0"/>
              <w:spacing w:line="300" w:lineRule="auto"/>
              <w:jc w:val="center"/>
              <w:rPr>
                <w:b/>
                <w:bCs/>
                <w:sz w:val="24"/>
              </w:rPr>
            </w:pPr>
            <w:r>
              <w:rPr>
                <w:b/>
                <w:bCs/>
                <w:sz w:val="24"/>
              </w:rPr>
              <w:t>评分项目</w:t>
            </w:r>
          </w:p>
        </w:tc>
        <w:tc>
          <w:tcPr>
            <w:tcW w:w="735" w:type="dxa"/>
            <w:tcBorders>
              <w:top w:val="single" w:color="auto" w:sz="6" w:space="0"/>
              <w:left w:val="single" w:color="auto" w:sz="6" w:space="0"/>
              <w:right w:val="single" w:color="auto" w:sz="6" w:space="0"/>
            </w:tcBorders>
            <w:vAlign w:val="center"/>
          </w:tcPr>
          <w:p>
            <w:pPr>
              <w:adjustRightInd w:val="0"/>
              <w:snapToGrid w:val="0"/>
              <w:spacing w:line="300" w:lineRule="auto"/>
              <w:jc w:val="center"/>
              <w:rPr>
                <w:b/>
                <w:bCs/>
                <w:sz w:val="24"/>
              </w:rPr>
            </w:pPr>
            <w:r>
              <w:rPr>
                <w:b/>
                <w:bCs/>
                <w:sz w:val="24"/>
              </w:rPr>
              <w:t>最高得分</w:t>
            </w:r>
          </w:p>
        </w:tc>
        <w:tc>
          <w:tcPr>
            <w:tcW w:w="7036" w:type="dxa"/>
            <w:tcBorders>
              <w:top w:val="single" w:color="auto" w:sz="6" w:space="0"/>
              <w:left w:val="single" w:color="auto" w:sz="6" w:space="0"/>
              <w:right w:val="single" w:color="auto" w:sz="4" w:space="0"/>
            </w:tcBorders>
            <w:vAlign w:val="center"/>
          </w:tcPr>
          <w:p>
            <w:pPr>
              <w:adjustRightInd w:val="0"/>
              <w:snapToGrid w:val="0"/>
              <w:spacing w:line="300" w:lineRule="auto"/>
              <w:jc w:val="center"/>
              <w:rPr>
                <w:b/>
                <w:bCs/>
                <w:sz w:val="24"/>
              </w:rPr>
            </w:pPr>
            <w:r>
              <w:rPr>
                <w:b/>
                <w:bCs/>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jc w:val="center"/>
        </w:trPr>
        <w:tc>
          <w:tcPr>
            <w:tcW w:w="1742" w:type="dxa"/>
            <w:tcBorders>
              <w:top w:val="single" w:color="auto" w:sz="6" w:space="0"/>
              <w:left w:val="single" w:color="auto" w:sz="6" w:space="0"/>
              <w:right w:val="single" w:color="auto" w:sz="6" w:space="0"/>
            </w:tcBorders>
            <w:vAlign w:val="center"/>
          </w:tcPr>
          <w:p>
            <w:pPr>
              <w:widowControl/>
              <w:snapToGrid w:val="0"/>
              <w:spacing w:line="300" w:lineRule="auto"/>
              <w:jc w:val="center"/>
              <w:rPr>
                <w:sz w:val="24"/>
              </w:rPr>
            </w:pPr>
            <w:r>
              <w:rPr>
                <w:sz w:val="24"/>
              </w:rPr>
              <w:t>2.1</w:t>
            </w:r>
            <w:r>
              <w:rPr>
                <w:rFonts w:hint="eastAsia"/>
                <w:sz w:val="24"/>
              </w:rPr>
              <w:t>综合实力</w:t>
            </w:r>
          </w:p>
        </w:tc>
        <w:tc>
          <w:tcPr>
            <w:tcW w:w="735" w:type="dxa"/>
            <w:tcBorders>
              <w:top w:val="single" w:color="auto" w:sz="6" w:space="0"/>
              <w:left w:val="single" w:color="auto" w:sz="6" w:space="0"/>
              <w:right w:val="single" w:color="auto" w:sz="6" w:space="0"/>
            </w:tcBorders>
            <w:vAlign w:val="center"/>
          </w:tcPr>
          <w:p>
            <w:pPr>
              <w:snapToGrid w:val="0"/>
              <w:spacing w:line="300" w:lineRule="auto"/>
              <w:jc w:val="center"/>
              <w:rPr>
                <w:sz w:val="24"/>
              </w:rPr>
            </w:pPr>
            <w:r>
              <w:rPr>
                <w:rFonts w:hint="eastAsia"/>
                <w:sz w:val="24"/>
              </w:rPr>
              <w:t>4</w:t>
            </w:r>
          </w:p>
        </w:tc>
        <w:tc>
          <w:tcPr>
            <w:tcW w:w="7036" w:type="dxa"/>
            <w:tcBorders>
              <w:top w:val="single" w:color="auto" w:sz="6" w:space="0"/>
              <w:left w:val="single" w:color="auto" w:sz="6" w:space="0"/>
              <w:right w:val="single" w:color="auto" w:sz="4" w:space="0"/>
            </w:tcBorders>
            <w:vAlign w:val="center"/>
          </w:tcPr>
          <w:p>
            <w:pPr>
              <w:widowControl/>
              <w:snapToGrid w:val="0"/>
              <w:spacing w:line="300" w:lineRule="auto"/>
              <w:jc w:val="left"/>
              <w:rPr>
                <w:sz w:val="24"/>
              </w:rPr>
            </w:pPr>
            <w:r>
              <w:rPr>
                <w:rFonts w:hint="eastAsia"/>
                <w:sz w:val="24"/>
              </w:rPr>
              <w:t>具备有效的质量管理体系认证、环境管理体系认证、食品安全管理体系证书、HACCP 认证证书，每有一项得</w:t>
            </w:r>
            <w:r>
              <w:rPr>
                <w:sz w:val="24"/>
              </w:rPr>
              <w:t>1</w:t>
            </w:r>
            <w:r>
              <w:rPr>
                <w:rFonts w:hint="eastAsia"/>
                <w:sz w:val="24"/>
              </w:rPr>
              <w:t>分，最多得 4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1742" w:type="dxa"/>
            <w:tcBorders>
              <w:top w:val="single" w:color="auto" w:sz="6" w:space="0"/>
              <w:left w:val="single" w:color="auto" w:sz="6" w:space="0"/>
              <w:right w:val="single" w:color="auto" w:sz="6" w:space="0"/>
            </w:tcBorders>
            <w:vAlign w:val="center"/>
          </w:tcPr>
          <w:p>
            <w:pPr>
              <w:widowControl/>
              <w:snapToGrid w:val="0"/>
              <w:spacing w:line="300" w:lineRule="auto"/>
              <w:jc w:val="center"/>
              <w:rPr>
                <w:sz w:val="24"/>
              </w:rPr>
            </w:pPr>
            <w:r>
              <w:rPr>
                <w:rFonts w:hint="eastAsia"/>
                <w:sz w:val="24"/>
              </w:rPr>
              <w:t>2</w:t>
            </w:r>
            <w:r>
              <w:rPr>
                <w:sz w:val="24"/>
              </w:rPr>
              <w:t>.2</w:t>
            </w:r>
            <w:r>
              <w:rPr>
                <w:rFonts w:hint="eastAsia"/>
                <w:sz w:val="24"/>
              </w:rPr>
              <w:t>用户满意度</w:t>
            </w:r>
          </w:p>
        </w:tc>
        <w:tc>
          <w:tcPr>
            <w:tcW w:w="735" w:type="dxa"/>
            <w:tcBorders>
              <w:top w:val="single" w:color="auto" w:sz="6" w:space="0"/>
              <w:left w:val="single" w:color="auto" w:sz="6" w:space="0"/>
              <w:right w:val="single" w:color="auto" w:sz="6" w:space="0"/>
            </w:tcBorders>
            <w:vAlign w:val="center"/>
          </w:tcPr>
          <w:p>
            <w:pPr>
              <w:snapToGrid w:val="0"/>
              <w:spacing w:line="300" w:lineRule="auto"/>
              <w:jc w:val="center"/>
              <w:rPr>
                <w:sz w:val="24"/>
              </w:rPr>
            </w:pPr>
            <w:r>
              <w:rPr>
                <w:rFonts w:hint="eastAsia"/>
                <w:sz w:val="24"/>
              </w:rPr>
              <w:t>2</w:t>
            </w:r>
          </w:p>
        </w:tc>
        <w:tc>
          <w:tcPr>
            <w:tcW w:w="7036" w:type="dxa"/>
            <w:tcBorders>
              <w:top w:val="single" w:color="auto" w:sz="6" w:space="0"/>
              <w:left w:val="single" w:color="auto" w:sz="6" w:space="0"/>
              <w:right w:val="single" w:color="auto" w:sz="4" w:space="0"/>
            </w:tcBorders>
            <w:vAlign w:val="center"/>
          </w:tcPr>
          <w:p>
            <w:pPr>
              <w:widowControl/>
              <w:snapToGrid w:val="0"/>
              <w:spacing w:line="300" w:lineRule="auto"/>
              <w:jc w:val="left"/>
              <w:rPr>
                <w:sz w:val="24"/>
              </w:rPr>
            </w:pPr>
            <w:r>
              <w:rPr>
                <w:rFonts w:hint="eastAsia"/>
                <w:sz w:val="24"/>
              </w:rPr>
              <w:t>每提供一个用户满意度评价证明文件且用户评价良好（用户满意度评价证明须加盖具有法人资格的用户单位公章）的，每提供一份得 1 分，最多得 2 分。（所提供满意度评价证明文件的用户单位须与业绩证明材料的用户单位一致，否则评审时不予承认）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 w:hRule="atLeast"/>
          <w:jc w:val="center"/>
        </w:trPr>
        <w:tc>
          <w:tcPr>
            <w:tcW w:w="1742" w:type="dxa"/>
            <w:tcBorders>
              <w:left w:val="single" w:color="auto" w:sz="6" w:space="0"/>
              <w:right w:val="single" w:color="auto" w:sz="6" w:space="0"/>
            </w:tcBorders>
            <w:vAlign w:val="center"/>
          </w:tcPr>
          <w:p>
            <w:pPr>
              <w:snapToGrid w:val="0"/>
              <w:spacing w:line="300" w:lineRule="auto"/>
              <w:jc w:val="center"/>
              <w:rPr>
                <w:sz w:val="24"/>
              </w:rPr>
            </w:pPr>
            <w:r>
              <w:rPr>
                <w:sz w:val="24"/>
              </w:rPr>
              <w:t>合计</w:t>
            </w:r>
          </w:p>
        </w:tc>
        <w:tc>
          <w:tcPr>
            <w:tcW w:w="735" w:type="dxa"/>
            <w:tcBorders>
              <w:top w:val="single" w:color="auto" w:sz="6" w:space="0"/>
              <w:left w:val="single" w:color="auto" w:sz="6" w:space="0"/>
              <w:right w:val="single" w:color="auto" w:sz="6" w:space="0"/>
            </w:tcBorders>
            <w:vAlign w:val="center"/>
          </w:tcPr>
          <w:p>
            <w:pPr>
              <w:snapToGrid w:val="0"/>
              <w:spacing w:line="300" w:lineRule="auto"/>
              <w:jc w:val="center"/>
              <w:rPr>
                <w:sz w:val="24"/>
              </w:rPr>
            </w:pPr>
            <w:r>
              <w:rPr>
                <w:rFonts w:hint="eastAsia"/>
                <w:sz w:val="24"/>
              </w:rPr>
              <w:t>6</w:t>
            </w:r>
          </w:p>
        </w:tc>
        <w:tc>
          <w:tcPr>
            <w:tcW w:w="7036" w:type="dxa"/>
            <w:tcBorders>
              <w:top w:val="single" w:color="auto" w:sz="6" w:space="0"/>
              <w:left w:val="single" w:color="auto" w:sz="6" w:space="0"/>
              <w:right w:val="single" w:color="auto" w:sz="4" w:space="0"/>
            </w:tcBorders>
            <w:vAlign w:val="center"/>
          </w:tcPr>
          <w:p>
            <w:pPr>
              <w:snapToGrid w:val="0"/>
              <w:spacing w:line="300" w:lineRule="auto"/>
              <w:rPr>
                <w:sz w:val="24"/>
              </w:rPr>
            </w:pPr>
          </w:p>
        </w:tc>
      </w:tr>
    </w:tbl>
    <w:p>
      <w:pPr>
        <w:spacing w:line="300" w:lineRule="auto"/>
      </w:pPr>
    </w:p>
    <w:p>
      <w:pPr>
        <w:spacing w:line="300" w:lineRule="auto"/>
        <w:rPr>
          <w:b/>
          <w:bCs/>
        </w:rPr>
      </w:pPr>
      <w:r>
        <w:rPr>
          <w:b/>
          <w:bCs/>
        </w:rPr>
        <w:t>3 技术及服务（</w:t>
      </w:r>
      <w:r>
        <w:rPr>
          <w:rFonts w:hint="eastAsia"/>
          <w:b/>
          <w:bCs/>
        </w:rPr>
        <w:t>6</w:t>
      </w:r>
      <w:r>
        <w:rPr>
          <w:b/>
          <w:bCs/>
        </w:rPr>
        <w:t>4分）</w:t>
      </w:r>
    </w:p>
    <w:tbl>
      <w:tblPr>
        <w:tblStyle w:val="88"/>
        <w:tblW w:w="94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637"/>
        <w:gridCol w:w="805"/>
        <w:gridCol w:w="70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jc w:val="center"/>
        </w:trPr>
        <w:tc>
          <w:tcPr>
            <w:tcW w:w="1637" w:type="dxa"/>
            <w:tcBorders>
              <w:left w:val="single" w:color="auto" w:sz="6" w:space="0"/>
              <w:right w:val="single" w:color="auto" w:sz="6" w:space="0"/>
            </w:tcBorders>
            <w:vAlign w:val="center"/>
          </w:tcPr>
          <w:p>
            <w:pPr>
              <w:adjustRightInd w:val="0"/>
              <w:snapToGrid w:val="0"/>
              <w:spacing w:line="300" w:lineRule="auto"/>
              <w:jc w:val="center"/>
              <w:rPr>
                <w:sz w:val="24"/>
              </w:rPr>
            </w:pPr>
            <w:r>
              <w:rPr>
                <w:b/>
                <w:bCs/>
                <w:sz w:val="24"/>
              </w:rPr>
              <w:t>评分项目</w:t>
            </w:r>
          </w:p>
        </w:tc>
        <w:tc>
          <w:tcPr>
            <w:tcW w:w="805" w:type="dxa"/>
            <w:tcBorders>
              <w:left w:val="single" w:color="auto" w:sz="6" w:space="0"/>
              <w:right w:val="single" w:color="auto" w:sz="6" w:space="0"/>
            </w:tcBorders>
            <w:vAlign w:val="center"/>
          </w:tcPr>
          <w:p>
            <w:pPr>
              <w:adjustRightInd w:val="0"/>
              <w:snapToGrid w:val="0"/>
              <w:spacing w:line="300" w:lineRule="auto"/>
              <w:jc w:val="center"/>
              <w:rPr>
                <w:b/>
                <w:bCs/>
                <w:sz w:val="24"/>
              </w:rPr>
            </w:pPr>
            <w:r>
              <w:rPr>
                <w:b/>
                <w:bCs/>
                <w:sz w:val="24"/>
              </w:rPr>
              <w:t>最高</w:t>
            </w:r>
          </w:p>
          <w:p>
            <w:pPr>
              <w:adjustRightInd w:val="0"/>
              <w:snapToGrid w:val="0"/>
              <w:spacing w:line="300" w:lineRule="auto"/>
              <w:jc w:val="center"/>
              <w:rPr>
                <w:sz w:val="24"/>
              </w:rPr>
            </w:pPr>
            <w:r>
              <w:rPr>
                <w:b/>
                <w:bCs/>
                <w:sz w:val="24"/>
              </w:rPr>
              <w:t>得分</w:t>
            </w:r>
          </w:p>
        </w:tc>
        <w:tc>
          <w:tcPr>
            <w:tcW w:w="7034" w:type="dxa"/>
            <w:tcBorders>
              <w:left w:val="single" w:color="auto" w:sz="6" w:space="0"/>
              <w:right w:val="single" w:color="auto" w:sz="4" w:space="0"/>
            </w:tcBorders>
            <w:vAlign w:val="center"/>
          </w:tcPr>
          <w:p>
            <w:pPr>
              <w:adjustRightInd w:val="0"/>
              <w:snapToGrid w:val="0"/>
              <w:spacing w:line="300" w:lineRule="auto"/>
              <w:jc w:val="center"/>
              <w:rPr>
                <w:sz w:val="24"/>
              </w:rPr>
            </w:pPr>
            <w:r>
              <w:rPr>
                <w:b/>
                <w:bCs/>
                <w:sz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ascii="宋体" w:hAnsi="宋体" w:cs="宋体"/>
                <w:kern w:val="0"/>
                <w:sz w:val="24"/>
                <w:lang w:bidi="ar"/>
              </w:rPr>
              <w:t>3</w:t>
            </w:r>
            <w:r>
              <w:rPr>
                <w:rFonts w:ascii="宋体" w:hAnsi="宋体" w:cs="宋体"/>
                <w:kern w:val="0"/>
                <w:sz w:val="24"/>
                <w:lang w:bidi="ar"/>
              </w:rPr>
              <w:t>.1</w:t>
            </w:r>
            <w:r>
              <w:rPr>
                <w:rFonts w:hint="eastAsia" w:ascii="宋体" w:hAnsi="宋体" w:cs="宋体"/>
                <w:kern w:val="0"/>
                <w:sz w:val="24"/>
                <w:lang w:bidi="ar"/>
              </w:rPr>
              <w:t>同类业绩（6）</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6</w:t>
            </w:r>
          </w:p>
        </w:tc>
        <w:tc>
          <w:tcPr>
            <w:tcW w:w="7034" w:type="dxa"/>
            <w:tcBorders>
              <w:left w:val="single" w:color="auto" w:sz="6" w:space="0"/>
              <w:right w:val="single" w:color="auto" w:sz="4" w:space="0"/>
            </w:tcBorders>
            <w:vAlign w:val="center"/>
          </w:tcPr>
          <w:p>
            <w:pPr>
              <w:snapToGrid w:val="0"/>
              <w:spacing w:line="300" w:lineRule="auto"/>
              <w:rPr>
                <w:sz w:val="24"/>
              </w:rPr>
            </w:pPr>
            <w:r>
              <w:rPr>
                <w:rFonts w:hint="eastAsia"/>
                <w:sz w:val="24"/>
              </w:rPr>
              <w:t>供应商同类项目业绩，每有一个得 1 分，最多得 6 分。</w:t>
            </w:r>
          </w:p>
          <w:p>
            <w:pPr>
              <w:snapToGrid w:val="0"/>
              <w:spacing w:line="300" w:lineRule="auto"/>
              <w:rPr>
                <w:sz w:val="24"/>
              </w:rPr>
            </w:pPr>
            <w:r>
              <w:rPr>
                <w:rFonts w:hint="eastAsia"/>
                <w:sz w:val="24"/>
              </w:rPr>
              <w:t>注：此处所指类似项目业绩指合同签订时间为自 201</w:t>
            </w:r>
            <w:r>
              <w:rPr>
                <w:sz w:val="24"/>
              </w:rPr>
              <w:t>9</w:t>
            </w:r>
            <w:r>
              <w:rPr>
                <w:rFonts w:hint="eastAsia"/>
                <w:sz w:val="24"/>
              </w:rPr>
              <w:t>年1月1日至今同类产品配送业绩；业绩须提供合同复印件作为有效证明材料（加盖供应商公章），合同签约供应商须为供应商本身。不符合上述要求或未按要求提供有效证明文件的业绩在评审时将不予承认。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jc w:val="center"/>
        </w:trPr>
        <w:tc>
          <w:tcPr>
            <w:tcW w:w="1637" w:type="dxa"/>
            <w:vMerge w:val="restart"/>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r>
              <w:rPr>
                <w:sz w:val="24"/>
              </w:rPr>
              <w:t>.2</w:t>
            </w:r>
            <w:r>
              <w:rPr>
                <w:rFonts w:hint="eastAsia"/>
                <w:sz w:val="24"/>
              </w:rPr>
              <w:t>产品质量（1</w:t>
            </w:r>
            <w:r>
              <w:rPr>
                <w:sz w:val="24"/>
              </w:rPr>
              <w:t>4</w:t>
            </w:r>
            <w:r>
              <w:rPr>
                <w:rFonts w:hint="eastAsia"/>
                <w:sz w:val="24"/>
              </w:rPr>
              <w:t>）</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5</w:t>
            </w:r>
          </w:p>
        </w:tc>
        <w:tc>
          <w:tcPr>
            <w:tcW w:w="7034" w:type="dxa"/>
            <w:tcBorders>
              <w:left w:val="single" w:color="auto" w:sz="6" w:space="0"/>
              <w:right w:val="single" w:color="auto" w:sz="4" w:space="0"/>
            </w:tcBorders>
            <w:vAlign w:val="center"/>
          </w:tcPr>
          <w:p>
            <w:pPr>
              <w:snapToGrid w:val="0"/>
              <w:spacing w:line="300" w:lineRule="auto"/>
              <w:rPr>
                <w:sz w:val="24"/>
              </w:rPr>
            </w:pPr>
            <w:r>
              <w:rPr>
                <w:rFonts w:hint="eastAsia"/>
                <w:sz w:val="24"/>
              </w:rPr>
              <w:t>根据供应商对所供应的食品产地、产品质量是否符合行业标准，是否具有合格的检疫证明，产品的外观、包装等方面是否满足要求进行综合评价。</w:t>
            </w:r>
          </w:p>
          <w:p>
            <w:pPr>
              <w:snapToGrid w:val="0"/>
              <w:spacing w:line="300" w:lineRule="auto"/>
              <w:rPr>
                <w:sz w:val="24"/>
              </w:rPr>
            </w:pPr>
            <w:r>
              <w:rPr>
                <w:rFonts w:hint="eastAsia"/>
                <w:sz w:val="24"/>
              </w:rPr>
              <w:t>有严格的配送质量保证措施、产品包装满足要求，合格的检疫证明，配送产品的质量好，得</w:t>
            </w:r>
            <w:r>
              <w:rPr>
                <w:sz w:val="24"/>
              </w:rPr>
              <w:t>5</w:t>
            </w:r>
            <w:r>
              <w:rPr>
                <w:rFonts w:hint="eastAsia"/>
                <w:sz w:val="24"/>
              </w:rPr>
              <w:t>分；有配送质量保证措施，产品包装、检疫证明、产品质量较好，得</w:t>
            </w:r>
            <w:r>
              <w:rPr>
                <w:sz w:val="24"/>
              </w:rPr>
              <w:t>2</w:t>
            </w:r>
            <w:r>
              <w:rPr>
                <w:rFonts w:hint="eastAsia"/>
                <w:sz w:val="24"/>
              </w:rPr>
              <w:t>分；有配送质量保证措施，产品包装、检疫证明、产品质量一般，得</w:t>
            </w:r>
            <w:r>
              <w:rPr>
                <w:sz w:val="24"/>
              </w:rPr>
              <w:t>1</w:t>
            </w:r>
            <w:r>
              <w:rPr>
                <w:rFonts w:hint="eastAsia"/>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2" w:hRule="atLeast"/>
          <w:jc w:val="center"/>
        </w:trPr>
        <w:tc>
          <w:tcPr>
            <w:tcW w:w="1637" w:type="dxa"/>
            <w:vMerge w:val="continue"/>
            <w:tcBorders>
              <w:left w:val="single" w:color="auto" w:sz="6" w:space="0"/>
              <w:right w:val="single" w:color="auto" w:sz="6" w:space="0"/>
            </w:tcBorders>
            <w:vAlign w:val="center"/>
          </w:tcPr>
          <w:p>
            <w:pPr>
              <w:tabs>
                <w:tab w:val="left" w:pos="645"/>
              </w:tabs>
              <w:snapToGrid w:val="0"/>
              <w:spacing w:line="300" w:lineRule="auto"/>
              <w:jc w:val="center"/>
              <w:rPr>
                <w:sz w:val="24"/>
              </w:rPr>
            </w:pP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8</w:t>
            </w:r>
          </w:p>
        </w:tc>
        <w:tc>
          <w:tcPr>
            <w:tcW w:w="7034" w:type="dxa"/>
            <w:tcBorders>
              <w:left w:val="single" w:color="auto" w:sz="6" w:space="0"/>
              <w:right w:val="single" w:color="auto" w:sz="4" w:space="0"/>
            </w:tcBorders>
            <w:vAlign w:val="center"/>
          </w:tcPr>
          <w:p>
            <w:pPr>
              <w:snapToGrid w:val="0"/>
              <w:spacing w:line="300" w:lineRule="auto"/>
              <w:rPr>
                <w:sz w:val="24"/>
              </w:rPr>
            </w:pPr>
            <w:r>
              <w:rPr>
                <w:rFonts w:hint="eastAsia"/>
                <w:sz w:val="24"/>
              </w:rPr>
              <w:t>供应商在北京市及周边地区具有相关商品生产基地或供货基地，提供自产证明、直销证明、供货代理证明或其他相关证明的，每提供一项得 2 分，最多得 8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22" w:hRule="atLeast"/>
          <w:jc w:val="center"/>
        </w:trPr>
        <w:tc>
          <w:tcPr>
            <w:tcW w:w="1637" w:type="dxa"/>
            <w:vMerge w:val="continue"/>
            <w:tcBorders>
              <w:left w:val="single" w:color="auto" w:sz="6" w:space="0"/>
              <w:right w:val="single" w:color="auto" w:sz="6" w:space="0"/>
            </w:tcBorders>
            <w:vAlign w:val="center"/>
          </w:tcPr>
          <w:p>
            <w:pPr>
              <w:tabs>
                <w:tab w:val="left" w:pos="645"/>
              </w:tabs>
              <w:snapToGrid w:val="0"/>
              <w:spacing w:line="300" w:lineRule="auto"/>
              <w:jc w:val="center"/>
              <w:rPr>
                <w:sz w:val="24"/>
              </w:rPr>
            </w:pP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1</w:t>
            </w:r>
          </w:p>
        </w:tc>
        <w:tc>
          <w:tcPr>
            <w:tcW w:w="7034" w:type="dxa"/>
            <w:tcBorders>
              <w:left w:val="single" w:color="auto" w:sz="6" w:space="0"/>
              <w:right w:val="single" w:color="auto" w:sz="4" w:space="0"/>
            </w:tcBorders>
            <w:vAlign w:val="center"/>
          </w:tcPr>
          <w:p>
            <w:pPr>
              <w:snapToGrid w:val="0"/>
              <w:spacing w:line="300" w:lineRule="auto"/>
              <w:rPr>
                <w:sz w:val="24"/>
              </w:rPr>
            </w:pPr>
            <w:r>
              <w:rPr>
                <w:rFonts w:hint="eastAsia"/>
                <w:sz w:val="24"/>
              </w:rPr>
              <w:t>供应商承诺在本项目所提供产品均为贫困地区农副产品的得 1 分。（注：贫困地区农副产品是指 832 个国家级贫困县域内注册的企业、农民专业合作社、家庭农场等出产的农副产品。）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98"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.3</w:t>
            </w:r>
            <w:r>
              <w:rPr>
                <w:rFonts w:hint="eastAsia" w:ascii="宋体" w:hAnsi="宋体" w:cs="宋体"/>
                <w:kern w:val="0"/>
                <w:sz w:val="24"/>
                <w:lang w:bidi="ar"/>
              </w:rPr>
              <w:t>质量控制（5）</w:t>
            </w:r>
          </w:p>
        </w:tc>
        <w:tc>
          <w:tcPr>
            <w:tcW w:w="805" w:type="dxa"/>
            <w:tcBorders>
              <w:left w:val="single" w:color="auto" w:sz="6" w:space="0"/>
              <w:right w:val="single" w:color="auto" w:sz="6" w:space="0"/>
            </w:tcBorders>
            <w:vAlign w:val="center"/>
          </w:tcPr>
          <w:p>
            <w:pPr>
              <w:snapToGrid w:val="0"/>
              <w:spacing w:line="300" w:lineRule="auto"/>
              <w:jc w:val="center"/>
              <w:rPr>
                <w:rFonts w:ascii="宋体" w:hAnsi="宋体" w:cs="宋体"/>
                <w:kern w:val="0"/>
                <w:sz w:val="24"/>
                <w:lang w:bidi="ar"/>
              </w:rPr>
            </w:pPr>
            <w:r>
              <w:rPr>
                <w:rFonts w:hint="eastAsia" w:ascii="宋体" w:hAnsi="宋体" w:cs="宋体"/>
                <w:kern w:val="0"/>
                <w:sz w:val="24"/>
                <w:lang w:bidi="ar"/>
              </w:rPr>
              <w:t>5</w:t>
            </w:r>
          </w:p>
        </w:tc>
        <w:tc>
          <w:tcPr>
            <w:tcW w:w="7034" w:type="dxa"/>
            <w:tcBorders>
              <w:left w:val="single" w:color="auto" w:sz="6" w:space="0"/>
              <w:right w:val="single" w:color="auto" w:sz="4" w:space="0"/>
            </w:tcBorders>
            <w:vAlign w:val="center"/>
          </w:tcPr>
          <w:p>
            <w:pPr>
              <w:snapToGrid w:val="0"/>
              <w:spacing w:line="300" w:lineRule="auto"/>
              <w:rPr>
                <w:rFonts w:ascii="宋体" w:hAnsi="宋体" w:cs="宋体"/>
                <w:kern w:val="0"/>
                <w:sz w:val="24"/>
                <w:lang w:bidi="ar"/>
              </w:rPr>
            </w:pPr>
            <w:r>
              <w:rPr>
                <w:rFonts w:hint="eastAsia" w:ascii="宋体" w:hAnsi="宋体" w:cs="宋体"/>
                <w:kern w:val="0"/>
                <w:sz w:val="24"/>
                <w:lang w:bidi="ar"/>
              </w:rPr>
              <w:t>根据供应商的质量控制方案和相关人员、设施、设备是否完善进行评价。方案全面，人员配备合理，设备设施完善的得5分；方案较全面，人员配备较合理，设备设施较完善的得3分；方案、人员、设施无法满足本项目需求的酌情得</w:t>
            </w:r>
            <w:r>
              <w:rPr>
                <w:rFonts w:ascii="宋体" w:hAnsi="宋体" w:cs="宋体"/>
                <w:kern w:val="0"/>
                <w:sz w:val="24"/>
                <w:lang w:bidi="ar"/>
              </w:rPr>
              <w:t>0</w:t>
            </w:r>
            <w:r>
              <w:rPr>
                <w:rFonts w:hint="eastAsia" w:ascii="宋体" w:hAnsi="宋体" w:cs="宋体"/>
                <w:kern w:val="0"/>
                <w:sz w:val="24"/>
                <w:lang w:bidi="ar"/>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481"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.4</w:t>
            </w:r>
            <w:r>
              <w:rPr>
                <w:rFonts w:hint="eastAsia" w:ascii="宋体" w:hAnsi="宋体" w:cs="宋体"/>
                <w:kern w:val="0"/>
                <w:sz w:val="24"/>
                <w:lang w:bidi="ar"/>
              </w:rPr>
              <w:t>仓储能力（4）</w:t>
            </w:r>
          </w:p>
        </w:tc>
        <w:tc>
          <w:tcPr>
            <w:tcW w:w="805" w:type="dxa"/>
            <w:tcBorders>
              <w:left w:val="single" w:color="auto" w:sz="6" w:space="0"/>
              <w:right w:val="single" w:color="auto" w:sz="6" w:space="0"/>
            </w:tcBorders>
            <w:vAlign w:val="center"/>
          </w:tcPr>
          <w:p>
            <w:pPr>
              <w:snapToGrid w:val="0"/>
              <w:spacing w:line="300" w:lineRule="auto"/>
              <w:jc w:val="center"/>
              <w:rPr>
                <w:rFonts w:ascii="宋体" w:hAnsi="宋体" w:cs="宋体"/>
                <w:kern w:val="0"/>
                <w:sz w:val="24"/>
                <w:lang w:bidi="ar"/>
              </w:rPr>
            </w:pPr>
            <w:r>
              <w:rPr>
                <w:rFonts w:hint="eastAsia" w:ascii="宋体" w:hAnsi="宋体" w:cs="宋体"/>
                <w:kern w:val="0"/>
                <w:sz w:val="24"/>
                <w:lang w:bidi="ar"/>
              </w:rPr>
              <w:t>4</w:t>
            </w:r>
          </w:p>
        </w:tc>
        <w:tc>
          <w:tcPr>
            <w:tcW w:w="7034" w:type="dxa"/>
            <w:tcBorders>
              <w:left w:val="single" w:color="auto" w:sz="6" w:space="0"/>
              <w:right w:val="single" w:color="auto" w:sz="4" w:space="0"/>
            </w:tcBorders>
            <w:vAlign w:val="center"/>
          </w:tcPr>
          <w:p>
            <w:pPr>
              <w:snapToGrid w:val="0"/>
              <w:spacing w:line="300" w:lineRule="auto"/>
              <w:rPr>
                <w:rFonts w:ascii="宋体" w:hAnsi="宋体" w:cs="宋体"/>
                <w:kern w:val="0"/>
                <w:sz w:val="24"/>
                <w:lang w:bidi="ar"/>
              </w:rPr>
            </w:pPr>
            <w:r>
              <w:rPr>
                <w:rFonts w:hint="eastAsia" w:ascii="宋体" w:hAnsi="宋体" w:cs="宋体"/>
                <w:kern w:val="0"/>
                <w:sz w:val="24"/>
                <w:lang w:bidi="ar"/>
              </w:rPr>
              <w:t>需提供检测设备相关证明文件，如设备购买发票、照片、检测人员及其证书等）。</w:t>
            </w:r>
          </w:p>
          <w:p>
            <w:pPr>
              <w:snapToGrid w:val="0"/>
              <w:spacing w:line="300" w:lineRule="auto"/>
              <w:rPr>
                <w:rFonts w:ascii="宋体" w:hAnsi="宋体" w:cs="宋体"/>
                <w:kern w:val="0"/>
                <w:sz w:val="24"/>
                <w:lang w:bidi="ar"/>
              </w:rPr>
            </w:pPr>
            <w:r>
              <w:rPr>
                <w:rFonts w:hint="eastAsia" w:ascii="宋体" w:hAnsi="宋体" w:cs="宋体"/>
                <w:kern w:val="0"/>
                <w:sz w:val="24"/>
                <w:lang w:bidi="ar"/>
              </w:rPr>
              <w:t>在北京市具有独立的冷藏库（保鲜库）、冷冻库、分拣车间的，每提供一类库房得 2 分，最多得 4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65" w:hRule="atLeast"/>
          <w:jc w:val="center"/>
        </w:trPr>
        <w:tc>
          <w:tcPr>
            <w:tcW w:w="1637" w:type="dxa"/>
            <w:vMerge w:val="restart"/>
            <w:tcBorders>
              <w:left w:val="single" w:color="auto" w:sz="6" w:space="0"/>
              <w:right w:val="single" w:color="auto" w:sz="6" w:space="0"/>
            </w:tcBorders>
            <w:vAlign w:val="center"/>
          </w:tcPr>
          <w:p>
            <w:pPr>
              <w:tabs>
                <w:tab w:val="left" w:pos="645"/>
              </w:tabs>
              <w:snapToGrid w:val="0"/>
              <w:spacing w:line="300" w:lineRule="auto"/>
              <w:jc w:val="center"/>
              <w:rPr>
                <w:rFonts w:ascii="宋体" w:hAnsi="宋体" w:cs="宋体"/>
                <w:kern w:val="0"/>
                <w:sz w:val="24"/>
                <w:lang w:bidi="ar"/>
              </w:rPr>
            </w:pPr>
            <w:r>
              <w:rPr>
                <w:rFonts w:hint="eastAsia" w:ascii="宋体" w:hAnsi="宋体" w:cs="宋体"/>
                <w:kern w:val="0"/>
                <w:sz w:val="24"/>
                <w:lang w:bidi="ar"/>
              </w:rPr>
              <w:t>3</w:t>
            </w:r>
            <w:r>
              <w:rPr>
                <w:rFonts w:ascii="宋体" w:hAnsi="宋体" w:cs="宋体"/>
                <w:kern w:val="0"/>
                <w:sz w:val="24"/>
                <w:lang w:bidi="ar"/>
              </w:rPr>
              <w:t>.5</w:t>
            </w:r>
            <w:r>
              <w:rPr>
                <w:rFonts w:hint="eastAsia" w:ascii="宋体" w:hAnsi="宋体" w:cs="宋体"/>
                <w:kern w:val="0"/>
                <w:sz w:val="24"/>
                <w:lang w:bidi="ar"/>
              </w:rPr>
              <w:t>运输保障（6）</w:t>
            </w:r>
          </w:p>
        </w:tc>
        <w:tc>
          <w:tcPr>
            <w:tcW w:w="805"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p>
        </w:tc>
        <w:tc>
          <w:tcPr>
            <w:tcW w:w="7034" w:type="dxa"/>
            <w:tcBorders>
              <w:left w:val="single" w:color="auto" w:sz="6" w:space="0"/>
              <w:right w:val="single" w:color="auto" w:sz="4" w:space="0"/>
            </w:tcBorders>
            <w:vAlign w:val="center"/>
          </w:tcPr>
          <w:p>
            <w:pPr>
              <w:snapToGrid w:val="0"/>
              <w:spacing w:line="300" w:lineRule="auto"/>
              <w:rPr>
                <w:sz w:val="24"/>
              </w:rPr>
            </w:pPr>
            <w:r>
              <w:rPr>
                <w:rFonts w:hint="eastAsia"/>
                <w:sz w:val="24"/>
              </w:rPr>
              <w:t>需提供相关产权证明或租赁协议，照片、详细说明等。未提供相关证明材料的不予确认。</w:t>
            </w:r>
          </w:p>
          <w:p>
            <w:pPr>
              <w:snapToGrid w:val="0"/>
              <w:spacing w:line="300" w:lineRule="auto"/>
              <w:rPr>
                <w:sz w:val="24"/>
              </w:rPr>
            </w:pPr>
            <w:r>
              <w:rPr>
                <w:rFonts w:hint="eastAsia"/>
                <w:sz w:val="24"/>
              </w:rPr>
              <w:t>拥有货物运输车辆（不含冷藏车）的，每提供一辆得</w:t>
            </w:r>
            <w:r>
              <w:rPr>
                <w:sz w:val="24"/>
              </w:rPr>
              <w:t>1</w:t>
            </w:r>
            <w:r>
              <w:rPr>
                <w:rFonts w:hint="eastAsia"/>
                <w:sz w:val="24"/>
              </w:rPr>
              <w:t>分，最高得 3 分，提供相关车辆证明材料（提供车辆信息与公司信息一致的自有车辆证明或提供车辆租赁合同或协议、照片等相关证明材料），未能按照要求提供车辆相关证明不得分。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165" w:hRule="atLeast"/>
          <w:jc w:val="center"/>
        </w:trPr>
        <w:tc>
          <w:tcPr>
            <w:tcW w:w="1637" w:type="dxa"/>
            <w:vMerge w:val="continue"/>
            <w:tcBorders>
              <w:left w:val="single" w:color="auto" w:sz="6" w:space="0"/>
              <w:right w:val="single" w:color="auto" w:sz="6" w:space="0"/>
            </w:tcBorders>
            <w:vAlign w:val="center"/>
          </w:tcPr>
          <w:p>
            <w:pPr>
              <w:tabs>
                <w:tab w:val="left" w:pos="645"/>
              </w:tabs>
              <w:snapToGrid w:val="0"/>
              <w:spacing w:line="300" w:lineRule="auto"/>
              <w:jc w:val="center"/>
              <w:rPr>
                <w:rFonts w:ascii="宋体" w:hAnsi="宋体" w:cs="宋体"/>
                <w:kern w:val="0"/>
                <w:sz w:val="24"/>
                <w:lang w:bidi="ar"/>
              </w:rPr>
            </w:pPr>
          </w:p>
        </w:tc>
        <w:tc>
          <w:tcPr>
            <w:tcW w:w="805"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根据投标人拥有冷藏车的相关证明进行评审，每提供一辆得1分，最高得</w:t>
            </w:r>
            <w:r>
              <w:rPr>
                <w:sz w:val="24"/>
              </w:rPr>
              <w:t>3</w:t>
            </w:r>
            <w:r>
              <w:rPr>
                <w:rFonts w:hint="eastAsia"/>
                <w:sz w:val="24"/>
              </w:rPr>
              <w:t>分，提供相关车辆证明材料（提供车辆信息与公司信息一致的自有车辆证明或提供车辆租赁合同或协议、照片等相关证明材料），未能按照要求提供车辆相关证明不得分。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5" w:hRule="atLeast"/>
          <w:jc w:val="center"/>
        </w:trPr>
        <w:tc>
          <w:tcPr>
            <w:tcW w:w="1637" w:type="dxa"/>
            <w:vMerge w:val="restart"/>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r>
              <w:rPr>
                <w:sz w:val="24"/>
              </w:rPr>
              <w:t>.6</w:t>
            </w:r>
            <w:r>
              <w:rPr>
                <w:rFonts w:hint="eastAsia"/>
                <w:sz w:val="24"/>
              </w:rPr>
              <w:t>配送方案（1</w:t>
            </w:r>
            <w:r>
              <w:rPr>
                <w:sz w:val="24"/>
              </w:rPr>
              <w:t>1</w:t>
            </w:r>
            <w:r>
              <w:rPr>
                <w:rFonts w:hint="eastAsia"/>
                <w:sz w:val="24"/>
              </w:rPr>
              <w:t>）</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3</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根据供应商拟派的固定的配送人员情况进行评审。人员合理，每有一人得</w:t>
            </w:r>
            <w:r>
              <w:rPr>
                <w:sz w:val="24"/>
              </w:rPr>
              <w:t>1</w:t>
            </w:r>
            <w:r>
              <w:rPr>
                <w:rFonts w:hint="eastAsia"/>
                <w:sz w:val="24"/>
              </w:rPr>
              <w:t>分，最多得</w:t>
            </w:r>
            <w:r>
              <w:rPr>
                <w:sz w:val="24"/>
              </w:rPr>
              <w:t>3</w:t>
            </w:r>
            <w:r>
              <w:rPr>
                <w:rFonts w:hint="eastAsia"/>
                <w:sz w:val="24"/>
              </w:rPr>
              <w:t>分。</w:t>
            </w:r>
          </w:p>
          <w:p>
            <w:pPr>
              <w:widowControl/>
              <w:snapToGrid w:val="0"/>
              <w:spacing w:line="300" w:lineRule="auto"/>
              <w:jc w:val="left"/>
              <w:rPr>
                <w:sz w:val="24"/>
              </w:rPr>
            </w:pPr>
            <w:r>
              <w:rPr>
                <w:rFonts w:hint="eastAsia"/>
                <w:sz w:val="24"/>
              </w:rPr>
              <w:t>注：驾驶员应提供驾驶证、健康证、身份证等证明材料，其他人员应提供健康证、身份证等材料。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555" w:hRule="atLeast"/>
          <w:jc w:val="center"/>
        </w:trPr>
        <w:tc>
          <w:tcPr>
            <w:tcW w:w="1637" w:type="dxa"/>
            <w:vMerge w:val="continue"/>
            <w:tcBorders>
              <w:left w:val="single" w:color="auto" w:sz="6" w:space="0"/>
              <w:right w:val="single" w:color="auto" w:sz="6" w:space="0"/>
            </w:tcBorders>
            <w:vAlign w:val="center"/>
          </w:tcPr>
          <w:p>
            <w:pPr>
              <w:tabs>
                <w:tab w:val="left" w:pos="645"/>
              </w:tabs>
              <w:snapToGrid w:val="0"/>
              <w:spacing w:line="300" w:lineRule="auto"/>
              <w:jc w:val="center"/>
              <w:rPr>
                <w:sz w:val="24"/>
              </w:rPr>
            </w:pP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8</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根据供应商针对本项目提供的实施计划、人员组织、备货周期、分拣流程、储存管理、质量管控、包装运输、交货验收等内容进行评分，以上八个方面每一项评价为优得</w:t>
            </w:r>
            <w:r>
              <w:rPr>
                <w:sz w:val="24"/>
              </w:rPr>
              <w:t>1</w:t>
            </w:r>
            <w:r>
              <w:rPr>
                <w:rFonts w:hint="eastAsia"/>
                <w:sz w:val="24"/>
              </w:rPr>
              <w:t>分，最高得8分，差或无不得分。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55" w:hRule="atLeast"/>
          <w:jc w:val="center"/>
        </w:trPr>
        <w:tc>
          <w:tcPr>
            <w:tcW w:w="1637" w:type="dxa"/>
            <w:vMerge w:val="restart"/>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r>
              <w:rPr>
                <w:sz w:val="24"/>
              </w:rPr>
              <w:t>.7</w:t>
            </w:r>
            <w:r>
              <w:rPr>
                <w:rFonts w:hint="eastAsia"/>
                <w:sz w:val="24"/>
              </w:rPr>
              <w:t>管理制度（7）</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3</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供应商内部具有明晰的单位组织机构、职责分工明确的得</w:t>
            </w:r>
            <w:r>
              <w:rPr>
                <w:sz w:val="24"/>
              </w:rPr>
              <w:t>3</w:t>
            </w:r>
            <w:r>
              <w:rPr>
                <w:rFonts w:hint="eastAsia"/>
                <w:sz w:val="24"/>
              </w:rPr>
              <w:t>分，组织机构、职责分工较明确得2分，组织机构、职责分工一般得1分，未提供不得分。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55" w:hRule="atLeast"/>
          <w:jc w:val="center"/>
        </w:trPr>
        <w:tc>
          <w:tcPr>
            <w:tcW w:w="1637" w:type="dxa"/>
            <w:vMerge w:val="continue"/>
            <w:tcBorders>
              <w:left w:val="single" w:color="auto" w:sz="6" w:space="0"/>
              <w:right w:val="single" w:color="auto" w:sz="6" w:space="0"/>
            </w:tcBorders>
            <w:vAlign w:val="center"/>
          </w:tcPr>
          <w:p>
            <w:pPr>
              <w:tabs>
                <w:tab w:val="left" w:pos="645"/>
              </w:tabs>
              <w:snapToGrid w:val="0"/>
              <w:spacing w:line="300" w:lineRule="auto"/>
              <w:jc w:val="center"/>
              <w:rPr>
                <w:sz w:val="24"/>
              </w:rPr>
            </w:pP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4</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具有健全的日常管理制度、考核办法及项目负责人的管理机制，根据管理制度、考核办法的全面性，项目负责人的学历、资质、从业年限、从业经验等方面进行评价。管理制度健全，考核内容全面，负责人经验丰富得</w:t>
            </w:r>
            <w:r>
              <w:rPr>
                <w:sz w:val="24"/>
              </w:rPr>
              <w:t>4</w:t>
            </w:r>
            <w:r>
              <w:rPr>
                <w:rFonts w:hint="eastAsia"/>
                <w:sz w:val="24"/>
              </w:rPr>
              <w:t>分，管理制度较完善，考核内容较全面，负责人经验较丰富得</w:t>
            </w:r>
            <w:r>
              <w:rPr>
                <w:sz w:val="24"/>
              </w:rPr>
              <w:t>3</w:t>
            </w:r>
            <w:r>
              <w:rPr>
                <w:rFonts w:hint="eastAsia"/>
                <w:sz w:val="24"/>
              </w:rPr>
              <w:t>分，管理制度一般，考核内容不全面，负责人经验一般得</w:t>
            </w:r>
            <w:r>
              <w:rPr>
                <w:sz w:val="24"/>
              </w:rPr>
              <w:t>1</w:t>
            </w:r>
            <w:r>
              <w:rPr>
                <w:rFonts w:hint="eastAsia"/>
                <w:sz w:val="24"/>
              </w:rPr>
              <w:t>分，未提供不得分。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55"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r>
              <w:rPr>
                <w:sz w:val="24"/>
              </w:rPr>
              <w:t>.8</w:t>
            </w:r>
            <w:r>
              <w:rPr>
                <w:rFonts w:hint="eastAsia"/>
                <w:sz w:val="24"/>
              </w:rPr>
              <w:t>服务承诺（5）</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5</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根据供应商提出的服务承诺内容（包括质量保证、响应时效、服从采购人管理及增值服务等内容）进行比较。承诺内容切实可行、响应时效快得</w:t>
            </w:r>
            <w:r>
              <w:rPr>
                <w:sz w:val="24"/>
              </w:rPr>
              <w:t>5</w:t>
            </w:r>
            <w:r>
              <w:rPr>
                <w:rFonts w:hint="eastAsia"/>
                <w:sz w:val="24"/>
              </w:rPr>
              <w:t>分，承诺内容基本切实可行、响应时效较快得良</w:t>
            </w:r>
            <w:r>
              <w:rPr>
                <w:sz w:val="24"/>
              </w:rPr>
              <w:t>3</w:t>
            </w:r>
            <w:r>
              <w:rPr>
                <w:rFonts w:hint="eastAsia"/>
                <w:sz w:val="24"/>
              </w:rPr>
              <w:t>分，承诺内容欠缺、响应时效一般得</w:t>
            </w:r>
            <w:r>
              <w:rPr>
                <w:sz w:val="24"/>
              </w:rPr>
              <w:t>1</w:t>
            </w:r>
            <w:r>
              <w:rPr>
                <w:rFonts w:hint="eastAsia"/>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655"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rFonts w:hint="eastAsia"/>
                <w:sz w:val="24"/>
              </w:rPr>
              <w:t>3</w:t>
            </w:r>
            <w:r>
              <w:rPr>
                <w:sz w:val="24"/>
              </w:rPr>
              <w:t>.9</w:t>
            </w:r>
            <w:r>
              <w:rPr>
                <w:rFonts w:hint="eastAsia"/>
                <w:sz w:val="24"/>
              </w:rPr>
              <w:t>突发事件应急保障措施（6）</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6</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r>
              <w:rPr>
                <w:rFonts w:hint="eastAsia"/>
                <w:sz w:val="24"/>
              </w:rPr>
              <w:t>供应商对供货过程中出现的临时配送任务、食品安全事件、运输突发事件等采取的应急保障措施的内容全面性、方案的合理可行性。内容全面，方案合理得</w:t>
            </w:r>
            <w:r>
              <w:rPr>
                <w:sz w:val="24"/>
              </w:rPr>
              <w:t>6</w:t>
            </w:r>
            <w:r>
              <w:rPr>
                <w:rFonts w:hint="eastAsia"/>
                <w:sz w:val="24"/>
              </w:rPr>
              <w:t>分，内容较全面、较合理得</w:t>
            </w:r>
            <w:r>
              <w:rPr>
                <w:sz w:val="24"/>
              </w:rPr>
              <w:t>4</w:t>
            </w:r>
            <w:r>
              <w:rPr>
                <w:rFonts w:hint="eastAsia"/>
                <w:sz w:val="24"/>
              </w:rPr>
              <w:t>分，方案一般的</w:t>
            </w:r>
            <w:r>
              <w:rPr>
                <w:sz w:val="24"/>
              </w:rPr>
              <w:t>2</w:t>
            </w:r>
            <w:r>
              <w:rPr>
                <w:rFonts w:hint="eastAsia"/>
                <w:sz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23" w:hRule="atLeast"/>
          <w:jc w:val="center"/>
        </w:trPr>
        <w:tc>
          <w:tcPr>
            <w:tcW w:w="1637" w:type="dxa"/>
            <w:tcBorders>
              <w:left w:val="single" w:color="auto" w:sz="6" w:space="0"/>
              <w:right w:val="single" w:color="auto" w:sz="6" w:space="0"/>
            </w:tcBorders>
            <w:vAlign w:val="center"/>
          </w:tcPr>
          <w:p>
            <w:pPr>
              <w:tabs>
                <w:tab w:val="left" w:pos="645"/>
              </w:tabs>
              <w:snapToGrid w:val="0"/>
              <w:spacing w:line="300" w:lineRule="auto"/>
              <w:jc w:val="center"/>
              <w:rPr>
                <w:sz w:val="24"/>
              </w:rPr>
            </w:pPr>
            <w:r>
              <w:rPr>
                <w:sz w:val="24"/>
              </w:rPr>
              <w:t>合计</w:t>
            </w:r>
          </w:p>
        </w:tc>
        <w:tc>
          <w:tcPr>
            <w:tcW w:w="805" w:type="dxa"/>
            <w:tcBorders>
              <w:left w:val="single" w:color="auto" w:sz="6" w:space="0"/>
              <w:right w:val="single" w:color="auto" w:sz="6" w:space="0"/>
            </w:tcBorders>
            <w:vAlign w:val="center"/>
          </w:tcPr>
          <w:p>
            <w:pPr>
              <w:snapToGrid w:val="0"/>
              <w:spacing w:line="300" w:lineRule="auto"/>
              <w:jc w:val="center"/>
              <w:rPr>
                <w:sz w:val="24"/>
              </w:rPr>
            </w:pPr>
            <w:r>
              <w:rPr>
                <w:rFonts w:hint="eastAsia"/>
                <w:sz w:val="24"/>
              </w:rPr>
              <w:t>6</w:t>
            </w:r>
            <w:r>
              <w:rPr>
                <w:sz w:val="24"/>
              </w:rPr>
              <w:t>4</w:t>
            </w:r>
          </w:p>
        </w:tc>
        <w:tc>
          <w:tcPr>
            <w:tcW w:w="7034" w:type="dxa"/>
            <w:tcBorders>
              <w:left w:val="single" w:color="auto" w:sz="6" w:space="0"/>
              <w:right w:val="single" w:color="auto" w:sz="4" w:space="0"/>
            </w:tcBorders>
            <w:vAlign w:val="center"/>
          </w:tcPr>
          <w:p>
            <w:pPr>
              <w:widowControl/>
              <w:snapToGrid w:val="0"/>
              <w:spacing w:line="300" w:lineRule="auto"/>
              <w:jc w:val="left"/>
              <w:rPr>
                <w:sz w:val="24"/>
              </w:rPr>
            </w:pPr>
          </w:p>
        </w:tc>
      </w:tr>
    </w:tbl>
    <w:p>
      <w:pPr>
        <w:snapToGrid w:val="0"/>
        <w:spacing w:line="300" w:lineRule="auto"/>
        <w:rPr>
          <w:sz w:val="24"/>
        </w:rPr>
      </w:pPr>
    </w:p>
    <w:p>
      <w:pPr>
        <w:snapToGrid w:val="0"/>
        <w:spacing w:line="300" w:lineRule="auto"/>
      </w:pPr>
      <w:r>
        <w:rPr>
          <w:sz w:val="24"/>
        </w:rPr>
        <w:t>注解1.除非有特殊情况，评分统计按四舍五入精确到小数点后2位。</w:t>
      </w:r>
    </w:p>
    <w:p>
      <w:pPr>
        <w:spacing w:line="360" w:lineRule="auto"/>
        <w:rPr>
          <w:rFonts w:ascii="Arial" w:hAnsi="Arial" w:cs="Arial"/>
          <w:sz w:val="24"/>
        </w:rPr>
      </w:pPr>
      <w:r>
        <w:rPr>
          <w:rFonts w:hint="eastAsia" w:ascii="Arial" w:hAnsi="Arial" w:cs="Arial"/>
          <w:sz w:val="24"/>
        </w:rPr>
        <w:t>1.中标候选供应商数量：3个。</w:t>
      </w:r>
    </w:p>
    <w:p>
      <w:pPr>
        <w:spacing w:line="360" w:lineRule="auto"/>
        <w:rPr>
          <w:rFonts w:ascii="Arial" w:hAnsi="Arial" w:cs="Arial"/>
          <w:sz w:val="24"/>
        </w:rPr>
      </w:pPr>
      <w:r>
        <w:rPr>
          <w:rFonts w:hint="eastAsia" w:ascii="Arial" w:hAnsi="Arial" w:cs="Arial"/>
          <w:sz w:val="24"/>
        </w:rPr>
        <w:t>2.评标结果按评审后得分由高到低顺序排列。得分相同的，按投标报价由低到高顺序排列。得分且投标报价相同的并列。</w:t>
      </w:r>
    </w:p>
    <w:p>
      <w:pPr>
        <w:spacing w:line="360" w:lineRule="auto"/>
        <w:rPr>
          <w:rFonts w:ascii="Arial" w:hAnsi="Arial" w:cs="Arial"/>
          <w:sz w:val="24"/>
        </w:rPr>
      </w:pPr>
      <w:r>
        <w:rPr>
          <w:rFonts w:hint="eastAsia" w:ascii="Arial" w:hAnsi="Arial" w:cs="Arial"/>
          <w:sz w:val="24"/>
        </w:rPr>
        <w:t>3.响应文件满足磋商文件全部实质性要求，且按照评审因素的量化指标评审得分最高的供应商为排名第一的中标候选人。</w:t>
      </w:r>
    </w:p>
    <w:p>
      <w:pPr>
        <w:spacing w:line="360" w:lineRule="auto"/>
        <w:rPr>
          <w:rFonts w:ascii="Arial" w:hAnsi="Arial" w:cs="Arial"/>
          <w:sz w:val="24"/>
        </w:rPr>
      </w:pPr>
      <w:r>
        <w:rPr>
          <w:rFonts w:hint="eastAsia" w:ascii="Arial" w:hAnsi="Arial" w:cs="Arial"/>
          <w:sz w:val="24"/>
        </w:rPr>
        <w:t>4.中标候选人满足上条要求并列的，以技术得分由高到低顺序排列；技术得分仍相同的由采购人安排议标/随机抽取产生。</w:t>
      </w:r>
    </w:p>
    <w:p>
      <w:pPr>
        <w:pStyle w:val="132"/>
        <w:spacing w:line="360" w:lineRule="auto"/>
        <w:ind w:firstLine="0" w:firstLineChars="0"/>
        <w:rPr>
          <w:rFonts w:ascii="Arial" w:hAnsi="Arial" w:eastAsia="仿宋" w:cs="Arial"/>
          <w:kern w:val="0"/>
          <w:sz w:val="24"/>
        </w:rPr>
      </w:pPr>
    </w:p>
    <w:p>
      <w:pPr>
        <w:widowControl/>
        <w:jc w:val="left"/>
        <w:rPr>
          <w:rFonts w:ascii="Arial" w:hAnsi="Arial" w:eastAsia="黑体" w:cs="Arial"/>
          <w:bCs/>
          <w:w w:val="80"/>
          <w:sz w:val="36"/>
          <w:szCs w:val="36"/>
        </w:rPr>
      </w:pPr>
      <w:r>
        <w:rPr>
          <w:rFonts w:ascii="Arial" w:hAnsi="Arial" w:cs="Arial"/>
        </w:rPr>
        <w:br w:type="page"/>
      </w:r>
    </w:p>
    <w:p>
      <w:pPr>
        <w:pStyle w:val="3"/>
        <w:rPr>
          <w:rFonts w:ascii="Arial" w:hAnsi="Arial" w:cs="Arial"/>
          <w:color w:val="auto"/>
        </w:rPr>
      </w:pPr>
      <w:bookmarkStart w:id="327" w:name="_Toc92357015"/>
      <w:bookmarkStart w:id="328" w:name="_Toc92965932"/>
      <w:r>
        <w:rPr>
          <w:rFonts w:ascii="Arial" w:hAnsi="Arial" w:cs="Arial"/>
          <w:color w:val="auto"/>
        </w:rPr>
        <w:t>第四章</w:t>
      </w:r>
      <w:r>
        <w:rPr>
          <w:rFonts w:hint="eastAsia" w:ascii="Arial" w:hAnsi="Arial" w:cs="Arial"/>
          <w:color w:val="auto"/>
        </w:rPr>
        <w:t xml:space="preserve"> </w:t>
      </w:r>
      <w:r>
        <w:rPr>
          <w:rFonts w:ascii="Arial" w:hAnsi="Arial" w:cs="Arial"/>
          <w:color w:val="auto"/>
        </w:rPr>
        <w:t>技术要求</w:t>
      </w:r>
      <w:bookmarkEnd w:id="327"/>
      <w:bookmarkEnd w:id="328"/>
    </w:p>
    <w:p>
      <w:pPr>
        <w:widowControl/>
        <w:spacing w:line="360" w:lineRule="auto"/>
        <w:ind w:firstLine="480" w:firstLineChars="200"/>
        <w:rPr>
          <w:rFonts w:ascii="宋体" w:hAnsi="宋体" w:cs="Arial"/>
          <w:sz w:val="24"/>
        </w:rPr>
      </w:pPr>
      <w:r>
        <w:rPr>
          <w:rFonts w:hint="eastAsia" w:ascii="宋体" w:hAnsi="宋体" w:cs="Arial"/>
          <w:sz w:val="24"/>
        </w:rPr>
        <w:t>1.</w:t>
      </w:r>
      <w:r>
        <w:rPr>
          <w:rFonts w:hint="eastAsia" w:ascii="宋体" w:hAnsi="宋体" w:cs="Arial"/>
          <w:sz w:val="24"/>
        </w:rPr>
        <w:tab/>
      </w:r>
      <w:r>
        <w:rPr>
          <w:rFonts w:hint="eastAsia" w:ascii="宋体" w:hAnsi="宋体" w:cs="Arial"/>
          <w:sz w:val="24"/>
        </w:rPr>
        <w:t>食品的品种、数量以我方每次填写的采购计划为准，需求计划中的（品牌、品种、质量、规格、数量等）未经我方允许不可擅自更换。</w:t>
      </w:r>
    </w:p>
    <w:p>
      <w:pPr>
        <w:widowControl/>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cs="Arial"/>
          <w:sz w:val="24"/>
        </w:rPr>
        <w:tab/>
      </w:r>
      <w:r>
        <w:rPr>
          <w:rFonts w:hint="eastAsia" w:ascii="宋体" w:hAnsi="宋体" w:cs="Arial"/>
          <w:sz w:val="24"/>
        </w:rPr>
        <w:t>根据我方要求应对某些特殊食材进行初加工处理。</w:t>
      </w:r>
    </w:p>
    <w:p>
      <w:pPr>
        <w:widowControl/>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cs="Arial"/>
          <w:sz w:val="24"/>
        </w:rPr>
        <w:tab/>
      </w:r>
      <w:r>
        <w:rPr>
          <w:rFonts w:hint="eastAsia" w:ascii="宋体" w:hAnsi="宋体" w:cs="Arial"/>
          <w:sz w:val="24"/>
        </w:rPr>
        <w:t>配送的食材必须保证日期新鲜。</w:t>
      </w:r>
    </w:p>
    <w:p>
      <w:pPr>
        <w:widowControl/>
        <w:spacing w:line="360" w:lineRule="auto"/>
        <w:ind w:firstLine="480" w:firstLineChars="200"/>
        <w:rPr>
          <w:rFonts w:ascii="宋体" w:hAnsi="宋体" w:cs="Arial"/>
          <w:sz w:val="24"/>
        </w:rPr>
      </w:pPr>
      <w:r>
        <w:rPr>
          <w:rFonts w:hint="eastAsia" w:ascii="宋体" w:hAnsi="宋体" w:cs="Arial"/>
          <w:sz w:val="24"/>
        </w:rPr>
        <w:t>4.</w:t>
      </w:r>
      <w:r>
        <w:rPr>
          <w:rFonts w:hint="eastAsia" w:ascii="宋体" w:hAnsi="宋体" w:cs="Arial"/>
          <w:sz w:val="24"/>
        </w:rPr>
        <w:tab/>
      </w:r>
      <w:r>
        <w:rPr>
          <w:rFonts w:hint="eastAsia" w:ascii="宋体" w:hAnsi="宋体" w:cs="Arial"/>
          <w:sz w:val="24"/>
        </w:rPr>
        <w:t>食品供应链必须明确，所有食品的来源必须清晰，来源应当是受到地方政府部门监管的流通市场或具有相关资质的厂家生产，食品生产企业必须获得工业产品生产许可证（OS），生产食品的源头与供应商要有固定的合法的供应关系。</w:t>
      </w:r>
    </w:p>
    <w:p>
      <w:pPr>
        <w:widowControl/>
        <w:spacing w:line="360" w:lineRule="auto"/>
        <w:ind w:firstLine="480" w:firstLineChars="200"/>
        <w:rPr>
          <w:rFonts w:ascii="宋体" w:hAnsi="宋体" w:cs="Arial"/>
          <w:sz w:val="24"/>
        </w:rPr>
      </w:pPr>
      <w:r>
        <w:rPr>
          <w:rFonts w:hint="eastAsia" w:ascii="宋体" w:hAnsi="宋体" w:cs="Arial"/>
          <w:sz w:val="24"/>
        </w:rPr>
        <w:t>5.</w:t>
      </w:r>
      <w:r>
        <w:rPr>
          <w:rFonts w:hint="eastAsia" w:ascii="宋体" w:hAnsi="宋体" w:cs="Arial"/>
          <w:sz w:val="24"/>
        </w:rPr>
        <w:tab/>
      </w:r>
      <w:r>
        <w:rPr>
          <w:rFonts w:hint="eastAsia" w:ascii="宋体" w:hAnsi="宋体" w:cs="Arial"/>
          <w:sz w:val="24"/>
        </w:rPr>
        <w:t>我方于每天下午将采购需求通知对方，对方于次日上午9:00前将食材送至指定地点，并将当日送货单交至我方验货员手中。</w:t>
      </w:r>
    </w:p>
    <w:p>
      <w:pPr>
        <w:widowControl/>
        <w:spacing w:line="360" w:lineRule="auto"/>
        <w:ind w:firstLine="480" w:firstLineChars="200"/>
        <w:rPr>
          <w:rFonts w:ascii="宋体" w:hAnsi="宋体" w:cs="Arial"/>
          <w:sz w:val="24"/>
        </w:rPr>
      </w:pPr>
      <w:r>
        <w:rPr>
          <w:rFonts w:hint="eastAsia" w:ascii="宋体" w:hAnsi="宋体" w:cs="Arial"/>
          <w:sz w:val="24"/>
        </w:rPr>
        <w:t>6.</w:t>
      </w:r>
      <w:r>
        <w:rPr>
          <w:rFonts w:hint="eastAsia" w:ascii="宋体" w:hAnsi="宋体" w:cs="Arial"/>
          <w:sz w:val="24"/>
        </w:rPr>
        <w:tab/>
      </w:r>
      <w:r>
        <w:rPr>
          <w:rFonts w:hint="eastAsia" w:ascii="宋体" w:hAnsi="宋体" w:cs="Arial"/>
          <w:sz w:val="24"/>
        </w:rPr>
        <w:t>对于商品不符合我方要求的，对方必须无条件退换货。</w:t>
      </w:r>
    </w:p>
    <w:p>
      <w:pPr>
        <w:widowControl/>
        <w:spacing w:line="360" w:lineRule="auto"/>
        <w:ind w:firstLine="480" w:firstLineChars="200"/>
        <w:rPr>
          <w:rFonts w:ascii="宋体" w:hAnsi="宋体" w:cs="Arial"/>
          <w:sz w:val="24"/>
        </w:rPr>
      </w:pPr>
      <w:r>
        <w:rPr>
          <w:rFonts w:hint="eastAsia" w:ascii="宋体" w:hAnsi="宋体" w:cs="Arial"/>
          <w:sz w:val="24"/>
        </w:rPr>
        <w:t>7.</w:t>
      </w:r>
      <w:r>
        <w:rPr>
          <w:rFonts w:hint="eastAsia" w:ascii="宋体" w:hAnsi="宋体" w:cs="Arial"/>
          <w:sz w:val="24"/>
        </w:rPr>
        <w:tab/>
      </w:r>
      <w:r>
        <w:rPr>
          <w:rFonts w:hint="eastAsia" w:ascii="宋体" w:hAnsi="宋体" w:cs="Arial"/>
          <w:sz w:val="24"/>
        </w:rPr>
        <w:t>配送肉类食材需提供动物检疫合格证明。</w:t>
      </w:r>
    </w:p>
    <w:p>
      <w:pPr>
        <w:widowControl/>
        <w:spacing w:line="360" w:lineRule="auto"/>
        <w:ind w:firstLine="480" w:firstLineChars="200"/>
        <w:rPr>
          <w:rFonts w:ascii="宋体" w:hAnsi="宋体" w:cs="Arial"/>
          <w:sz w:val="24"/>
        </w:rPr>
      </w:pPr>
      <w:r>
        <w:rPr>
          <w:rFonts w:hint="eastAsia" w:ascii="宋体" w:hAnsi="宋体" w:cs="Arial"/>
          <w:sz w:val="24"/>
        </w:rPr>
        <w:t>8.</w:t>
      </w:r>
      <w:r>
        <w:rPr>
          <w:rFonts w:hint="eastAsia" w:ascii="宋体" w:hAnsi="宋体" w:cs="Arial"/>
          <w:sz w:val="24"/>
        </w:rPr>
        <w:tab/>
      </w:r>
      <w:r>
        <w:rPr>
          <w:rFonts w:hint="eastAsia" w:ascii="宋体" w:hAnsi="宋体" w:cs="Arial"/>
          <w:sz w:val="24"/>
        </w:rPr>
        <w:t>配送人员应固定，如需更换人员，需提前一周通知我方负责人，并报备跟换人员信息，提供无犯罪证明，从业人员健康证，疫情期间定期提供配送人员核酸检测报告。</w:t>
      </w:r>
    </w:p>
    <w:p>
      <w:pPr>
        <w:tabs>
          <w:tab w:val="left" w:pos="180"/>
          <w:tab w:val="left" w:pos="567"/>
          <w:tab w:val="left" w:pos="1620"/>
        </w:tabs>
        <w:spacing w:line="360" w:lineRule="auto"/>
        <w:ind w:firstLine="480" w:firstLineChars="200"/>
        <w:rPr>
          <w:rFonts w:ascii="宋体" w:hAnsi="宋体"/>
          <w:bCs/>
          <w:sz w:val="24"/>
        </w:rPr>
      </w:pPr>
      <w:r>
        <w:rPr>
          <w:rFonts w:hint="eastAsia" w:ascii="宋体" w:hAnsi="宋体"/>
          <w:bCs/>
          <w:sz w:val="24"/>
        </w:rPr>
        <w:t>一、项目总体要求：</w:t>
      </w:r>
    </w:p>
    <w:p>
      <w:pPr>
        <w:spacing w:line="360" w:lineRule="auto"/>
        <w:ind w:firstLine="480" w:firstLineChars="200"/>
        <w:rPr>
          <w:rFonts w:ascii="宋体" w:hAnsi="宋体" w:cs="黑体"/>
          <w:bCs/>
          <w:kern w:val="44"/>
          <w:sz w:val="24"/>
        </w:rPr>
      </w:pPr>
      <w:r>
        <w:rPr>
          <w:rFonts w:hint="eastAsia" w:ascii="宋体" w:hAnsi="宋体" w:cs="黑体"/>
          <w:bCs/>
          <w:kern w:val="44"/>
          <w:sz w:val="24"/>
        </w:rPr>
        <w:t>1、供应的食品必须符合食品安全、卫生等国家标准要求，经检验合格。严格遵守《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pPr>
        <w:spacing w:line="360" w:lineRule="auto"/>
        <w:ind w:firstLine="480" w:firstLineChars="200"/>
        <w:rPr>
          <w:rFonts w:ascii="宋体" w:hAnsi="宋体" w:cs="黑体"/>
          <w:bCs/>
          <w:kern w:val="44"/>
          <w:sz w:val="24"/>
        </w:rPr>
      </w:pPr>
      <w:r>
        <w:rPr>
          <w:rFonts w:hint="eastAsia" w:ascii="宋体" w:hAnsi="宋体" w:cs="黑体"/>
          <w:bCs/>
          <w:kern w:val="44"/>
          <w:sz w:val="24"/>
        </w:rPr>
        <w:t>2、供应商品包装与标签要求：</w:t>
      </w:r>
    </w:p>
    <w:p>
      <w:pPr>
        <w:spacing w:line="360" w:lineRule="auto"/>
        <w:ind w:firstLine="480" w:firstLineChars="200"/>
        <w:rPr>
          <w:rFonts w:ascii="宋体" w:hAnsi="宋体" w:cs="黑体"/>
          <w:bCs/>
          <w:kern w:val="44"/>
          <w:sz w:val="24"/>
        </w:rPr>
      </w:pPr>
      <w:r>
        <w:rPr>
          <w:rFonts w:hint="eastAsia" w:ascii="宋体" w:hAnsi="宋体" w:cs="黑体"/>
          <w:bCs/>
          <w:kern w:val="44"/>
          <w:sz w:val="24"/>
        </w:rPr>
        <w:t>（1）普通商品包装：容器（框、箱、袋）要求清洁、干燥、牢固、透气，无污染、无异味、无霉变现象。</w:t>
      </w:r>
    </w:p>
    <w:p>
      <w:pPr>
        <w:spacing w:line="360" w:lineRule="auto"/>
        <w:ind w:firstLine="480" w:firstLineChars="200"/>
        <w:rPr>
          <w:rFonts w:ascii="宋体" w:hAnsi="宋体" w:cs="黑体"/>
          <w:bCs/>
          <w:kern w:val="44"/>
          <w:sz w:val="24"/>
        </w:rPr>
      </w:pPr>
      <w:r>
        <w:rPr>
          <w:rFonts w:hint="eastAsia" w:ascii="宋体" w:hAnsi="宋体" w:cs="黑体"/>
          <w:bCs/>
          <w:kern w:val="44"/>
          <w:sz w:val="24"/>
        </w:rPr>
        <w:t>（2）标签：每件包装必须按行业标准贴标签，并标明产地、品种、有效期、生产单位及地址等。</w:t>
      </w:r>
    </w:p>
    <w:p>
      <w:pPr>
        <w:spacing w:line="360" w:lineRule="auto"/>
        <w:ind w:firstLine="480" w:firstLineChars="200"/>
        <w:rPr>
          <w:rFonts w:ascii="宋体" w:hAnsi="宋体" w:cs="黑体"/>
          <w:bCs/>
          <w:kern w:val="44"/>
          <w:sz w:val="24"/>
        </w:rPr>
      </w:pPr>
      <w:r>
        <w:rPr>
          <w:rFonts w:hint="eastAsia" w:ascii="宋体" w:hAnsi="宋体" w:cs="黑体"/>
          <w:bCs/>
          <w:kern w:val="44"/>
          <w:sz w:val="24"/>
        </w:rPr>
        <w:t>（3）食品包装及标签：应符合国家规范，标签应标示食品名称、规格、制造商名称和地址、生产日期和保质期限、贮藏说明、质量等级、SC 认证等。乙方所提供的食品剩余保存期不得少于原有保质期的三分之二，进口冻品可用保质期不得少于1/2有效期天数，否则甲方有权拒收食品。</w:t>
      </w:r>
    </w:p>
    <w:p>
      <w:pPr>
        <w:spacing w:line="360" w:lineRule="auto"/>
        <w:ind w:firstLine="480" w:firstLineChars="200"/>
        <w:rPr>
          <w:rFonts w:ascii="宋体" w:hAnsi="宋体" w:cs="黑体"/>
          <w:bCs/>
          <w:kern w:val="44"/>
          <w:sz w:val="24"/>
        </w:rPr>
      </w:pPr>
      <w:r>
        <w:rPr>
          <w:rFonts w:hint="eastAsia" w:ascii="宋体" w:hAnsi="宋体" w:cs="黑体"/>
          <w:bCs/>
          <w:kern w:val="44"/>
          <w:sz w:val="24"/>
        </w:rPr>
        <w:t>3、运输要求：运输工具应清洁卫生无污染，运输途中严防日晒、雨淋，注意通风散热。供应商品应小心轻卸，严防机械损伤。乙方需至少报备两台配送车辆，配送人员应固定。乙方如需要更换人员，需提前至少一周时间通知甲方负责人，并报备更换人员信息，以及提供从业人员健康证、无犯罪证明材料，乙方应负责培训人员保证熟悉岗位工作流程，更换报备车辆同上。</w:t>
      </w:r>
    </w:p>
    <w:p>
      <w:pPr>
        <w:spacing w:line="360" w:lineRule="auto"/>
        <w:ind w:firstLine="480" w:firstLineChars="200"/>
        <w:rPr>
          <w:rFonts w:ascii="宋体" w:hAnsi="宋体" w:cs="黑体"/>
          <w:bCs/>
          <w:kern w:val="44"/>
          <w:sz w:val="24"/>
        </w:rPr>
      </w:pPr>
      <w:r>
        <w:rPr>
          <w:rFonts w:hint="eastAsia" w:ascii="宋体" w:hAnsi="宋体" w:cs="黑体"/>
          <w:bCs/>
          <w:kern w:val="44"/>
          <w:sz w:val="24"/>
        </w:rPr>
        <w:t>4、能按照厨房要求对需要初加工的原材料进行加工并入库。</w:t>
      </w:r>
    </w:p>
    <w:p>
      <w:pPr>
        <w:spacing w:line="360" w:lineRule="auto"/>
        <w:ind w:firstLine="480" w:firstLineChars="200"/>
        <w:rPr>
          <w:rFonts w:ascii="宋体" w:hAnsi="宋体" w:cs="黑体"/>
          <w:bCs/>
          <w:kern w:val="44"/>
          <w:sz w:val="24"/>
        </w:rPr>
      </w:pPr>
      <w:r>
        <w:rPr>
          <w:rFonts w:hint="eastAsia" w:ascii="宋体" w:hAnsi="宋体" w:cs="黑体"/>
          <w:bCs/>
          <w:kern w:val="44"/>
          <w:sz w:val="24"/>
        </w:rPr>
        <w:t>5、供方需在北京市范围内设有履行合同所必需的冷藏、仓储、场地等设施，以及为需方各食堂及时配送货物的专用交通工具和能力，并提供相关资质证明。这类包装及专用运输工具应采取防潮、防腐及防止其他损坏的必要保护措施，从而保护货物能够经受多次搬运、装卸及运输。</w:t>
      </w:r>
    </w:p>
    <w:p>
      <w:pPr>
        <w:spacing w:line="360" w:lineRule="auto"/>
        <w:ind w:firstLine="480" w:firstLineChars="200"/>
        <w:rPr>
          <w:rFonts w:ascii="宋体" w:hAnsi="宋体" w:cs="黑体"/>
          <w:bCs/>
          <w:kern w:val="44"/>
          <w:sz w:val="24"/>
        </w:rPr>
      </w:pPr>
      <w:r>
        <w:rPr>
          <w:rFonts w:hint="eastAsia" w:ascii="宋体" w:hAnsi="宋体" w:cs="黑体"/>
          <w:bCs/>
          <w:kern w:val="44"/>
          <w:sz w:val="24"/>
        </w:rPr>
        <w:t>6、供应商须按每日采购单中注明的食材技术标准和数量供货，不可以次充好、缺斤短两现象，超过采购单数量的货品采购方有权利不接收。</w:t>
      </w:r>
    </w:p>
    <w:p>
      <w:pPr>
        <w:spacing w:line="360" w:lineRule="auto"/>
        <w:ind w:firstLine="480" w:firstLineChars="200"/>
        <w:rPr>
          <w:rFonts w:ascii="宋体" w:hAnsi="宋体" w:cs="黑体"/>
          <w:bCs/>
          <w:kern w:val="44"/>
          <w:sz w:val="24"/>
        </w:rPr>
      </w:pPr>
      <w:r>
        <w:rPr>
          <w:rFonts w:hint="eastAsia" w:ascii="宋体" w:hAnsi="宋体" w:cs="黑体"/>
          <w:bCs/>
          <w:kern w:val="44"/>
          <w:sz w:val="24"/>
        </w:rPr>
        <w:t>7、每日下午（15）点采购方工作人员将采购单发送至供应商，供应商须在（17）点前确认采购单并回复采购人。供应商按照每日配送时间（9）点前，将货品配送至（外交部张湾培训中心）指定地点，每批次均能提供证明材料。</w:t>
      </w:r>
    </w:p>
    <w:p>
      <w:pPr>
        <w:spacing w:line="360" w:lineRule="auto"/>
        <w:ind w:firstLine="480" w:firstLineChars="200"/>
        <w:rPr>
          <w:rFonts w:ascii="宋体" w:hAnsi="宋体" w:cs="黑体"/>
          <w:bCs/>
          <w:kern w:val="44"/>
          <w:sz w:val="24"/>
        </w:rPr>
      </w:pPr>
      <w:r>
        <w:rPr>
          <w:rFonts w:hint="eastAsia" w:ascii="宋体" w:hAnsi="宋体" w:cs="黑体"/>
          <w:bCs/>
          <w:kern w:val="44"/>
          <w:sz w:val="24"/>
        </w:rPr>
        <w:t>注意：如果不是每日，请注明具体时间。</w:t>
      </w:r>
    </w:p>
    <w:p>
      <w:pPr>
        <w:spacing w:line="360" w:lineRule="auto"/>
        <w:ind w:firstLine="480" w:firstLineChars="200"/>
        <w:rPr>
          <w:rFonts w:ascii="宋体" w:hAnsi="宋体" w:cs="黑体"/>
          <w:bCs/>
          <w:kern w:val="44"/>
          <w:sz w:val="24"/>
        </w:rPr>
      </w:pPr>
      <w:r>
        <w:rPr>
          <w:rFonts w:hint="eastAsia" w:ascii="宋体" w:hAnsi="宋体" w:cs="黑体"/>
          <w:bCs/>
          <w:kern w:val="44"/>
          <w:sz w:val="24"/>
        </w:rPr>
        <w:t>8、因采购方宴请、会议等原因临时或紧急使用少量货品的配送任务，供方应按照采购方安排的配送时间按时到达采购方指定地点，一般须在三小时内送达，待采购人验收、核对后，供货才算完成。如遇应急配送情况，中标供应商不能提供的，使用部门可以找其他供应商采购。</w:t>
      </w:r>
    </w:p>
    <w:p>
      <w:pPr>
        <w:spacing w:line="360" w:lineRule="auto"/>
        <w:ind w:firstLine="480" w:firstLineChars="200"/>
        <w:rPr>
          <w:rFonts w:ascii="宋体" w:hAnsi="宋体" w:cs="黑体"/>
          <w:bCs/>
          <w:kern w:val="44"/>
          <w:sz w:val="24"/>
        </w:rPr>
      </w:pPr>
      <w:r>
        <w:rPr>
          <w:rFonts w:hint="eastAsia" w:ascii="宋体" w:hAnsi="宋体" w:cs="黑体"/>
          <w:bCs/>
          <w:kern w:val="44"/>
          <w:sz w:val="24"/>
        </w:rPr>
        <w:t>9、能提供供货代理证明文件或自产证明文件。</w:t>
      </w:r>
    </w:p>
    <w:p>
      <w:pPr>
        <w:spacing w:line="360" w:lineRule="auto"/>
        <w:ind w:firstLine="480" w:firstLineChars="200"/>
        <w:rPr>
          <w:rFonts w:ascii="宋体" w:hAnsi="宋体" w:cs="黑体"/>
          <w:bCs/>
          <w:kern w:val="44"/>
          <w:sz w:val="24"/>
        </w:rPr>
      </w:pPr>
      <w:r>
        <w:rPr>
          <w:rFonts w:hint="eastAsia" w:ascii="宋体" w:hAnsi="宋体" w:cs="黑体"/>
          <w:bCs/>
          <w:kern w:val="44"/>
          <w:sz w:val="24"/>
        </w:rPr>
        <w:t>10、每月能准时提供正式发票，每月及时汇总配送金额。</w:t>
      </w:r>
    </w:p>
    <w:p>
      <w:pPr>
        <w:spacing w:line="360" w:lineRule="auto"/>
        <w:ind w:right="-149" w:rightChars="-71" w:firstLine="480" w:firstLineChars="200"/>
        <w:rPr>
          <w:rFonts w:ascii="宋体" w:hAnsi="宋体" w:cs="黑体"/>
          <w:bCs/>
          <w:kern w:val="44"/>
          <w:sz w:val="24"/>
        </w:rPr>
      </w:pPr>
      <w:r>
        <w:rPr>
          <w:rFonts w:hint="eastAsia" w:ascii="宋体" w:hAnsi="宋体" w:cs="仿宋"/>
          <w:bCs/>
          <w:sz w:val="24"/>
        </w:rPr>
        <w:t>★</w:t>
      </w:r>
      <w:r>
        <w:rPr>
          <w:rFonts w:ascii="宋体" w:hAnsi="宋体" w:cs="仿宋"/>
          <w:bCs/>
          <w:sz w:val="24"/>
        </w:rPr>
        <w:t>11</w:t>
      </w:r>
      <w:r>
        <w:rPr>
          <w:rFonts w:hint="eastAsia" w:ascii="宋体" w:hAnsi="宋体" w:cs="仿宋"/>
          <w:bCs/>
          <w:sz w:val="24"/>
        </w:rPr>
        <w:t>、投标人所有产品的投标报价以北京新发地市场（http：//www.xinfadi.com.cn/）所公布的每日价格行情的平均价为基准下浮或上浮的百分比，投标报价最高限价为基准上浮15%，超过最高限价的投标报价将被拒绝。</w:t>
      </w:r>
    </w:p>
    <w:p>
      <w:pPr>
        <w:spacing w:line="360" w:lineRule="auto"/>
        <w:ind w:firstLine="480" w:firstLineChars="200"/>
        <w:rPr>
          <w:rFonts w:ascii="宋体" w:hAnsi="宋体" w:cs="仿宋"/>
          <w:bCs/>
          <w:sz w:val="24"/>
        </w:rPr>
      </w:pPr>
      <w:r>
        <w:rPr>
          <w:rFonts w:hint="eastAsia" w:ascii="宋体" w:hAnsi="宋体" w:cs="仿宋"/>
          <w:bCs/>
          <w:sz w:val="24"/>
        </w:rPr>
        <w:t>1</w:t>
      </w:r>
      <w:r>
        <w:rPr>
          <w:rFonts w:ascii="宋体" w:hAnsi="宋体" w:cs="仿宋"/>
          <w:bCs/>
          <w:sz w:val="24"/>
        </w:rPr>
        <w:t>2</w:t>
      </w:r>
      <w:r>
        <w:rPr>
          <w:rFonts w:hint="eastAsia" w:ascii="宋体" w:hAnsi="宋体" w:cs="仿宋"/>
          <w:bCs/>
          <w:sz w:val="24"/>
        </w:rPr>
        <w:t>、具体配送时间及地点要求：</w:t>
      </w:r>
    </w:p>
    <w:p>
      <w:pPr>
        <w:spacing w:line="360" w:lineRule="auto"/>
        <w:ind w:firstLine="480" w:firstLineChars="200"/>
        <w:rPr>
          <w:rFonts w:ascii="宋体" w:hAnsi="宋体" w:cs="仿宋"/>
          <w:bCs/>
          <w:sz w:val="24"/>
        </w:rPr>
      </w:pPr>
      <w:r>
        <w:rPr>
          <w:rFonts w:hint="eastAsia" w:ascii="宋体" w:hAnsi="宋体" w:cs="仿宋"/>
          <w:bCs/>
          <w:sz w:val="24"/>
        </w:rPr>
        <w:t>配送地点：北京市通州区张家湾镇西定福村南183号外交部培训中心。</w:t>
      </w:r>
    </w:p>
    <w:p>
      <w:pPr>
        <w:spacing w:line="360" w:lineRule="auto"/>
        <w:ind w:firstLine="480" w:firstLineChars="200"/>
        <w:rPr>
          <w:rFonts w:ascii="宋体" w:hAnsi="宋体" w:cs="黑体"/>
          <w:bCs/>
          <w:kern w:val="44"/>
          <w:sz w:val="24"/>
        </w:rPr>
      </w:pPr>
      <w:r>
        <w:rPr>
          <w:rFonts w:hint="eastAsia" w:ascii="宋体" w:hAnsi="宋体" w:cs="仿宋"/>
          <w:bCs/>
          <w:sz w:val="24"/>
        </w:rPr>
        <w:t>配送时间要求：每日早9:00前送达。</w:t>
      </w:r>
    </w:p>
    <w:p>
      <w:pPr>
        <w:tabs>
          <w:tab w:val="left" w:pos="180"/>
          <w:tab w:val="left" w:pos="567"/>
          <w:tab w:val="left" w:pos="1620"/>
        </w:tabs>
        <w:spacing w:line="360" w:lineRule="auto"/>
        <w:ind w:firstLine="480" w:firstLineChars="200"/>
        <w:rPr>
          <w:rFonts w:ascii="宋体" w:hAnsi="宋体"/>
          <w:bCs/>
          <w:sz w:val="24"/>
        </w:rPr>
      </w:pPr>
      <w:r>
        <w:rPr>
          <w:rFonts w:hint="eastAsia" w:ascii="宋体" w:hAnsi="宋体"/>
          <w:bCs/>
          <w:sz w:val="24"/>
        </w:rPr>
        <w:t>二、产品基本要求：</w:t>
      </w:r>
    </w:p>
    <w:p>
      <w:pPr>
        <w:spacing w:line="360" w:lineRule="auto"/>
        <w:ind w:firstLine="480" w:firstLineChars="200"/>
        <w:rPr>
          <w:rFonts w:ascii="宋体" w:hAnsi="宋体" w:cs="仿宋"/>
          <w:bCs/>
          <w:sz w:val="24"/>
        </w:rPr>
      </w:pPr>
      <w:r>
        <w:rPr>
          <w:rFonts w:hint="eastAsia" w:ascii="宋体" w:hAnsi="宋体" w:cs="仿宋"/>
          <w:bCs/>
          <w:sz w:val="24"/>
        </w:rPr>
        <w:t>（一）蔬菜</w:t>
      </w:r>
    </w:p>
    <w:p>
      <w:pPr>
        <w:spacing w:line="360" w:lineRule="auto"/>
        <w:ind w:firstLine="480" w:firstLineChars="200"/>
        <w:rPr>
          <w:rFonts w:ascii="宋体" w:hAnsi="宋体" w:cs="仿宋"/>
          <w:bCs/>
          <w:sz w:val="24"/>
        </w:rPr>
      </w:pPr>
      <w:r>
        <w:rPr>
          <w:rFonts w:hint="eastAsia" w:ascii="宋体" w:hAnsi="宋体" w:cs="仿宋"/>
          <w:bCs/>
          <w:sz w:val="24"/>
        </w:rPr>
        <w:t>1、必须符合国家农产品质量法的基本要求，必须根据季节变换实施跟进，购买新鲜应季蔬菜，严禁购买生、烂、过季的蔬菜，严禁购买带有农药、粪便等不卫生蔬菜。必须达到感官质量指标和卫生质量指标，且农药检验符合标准要求（双方发生异议时以需求方标准为据）。</w:t>
      </w:r>
    </w:p>
    <w:p>
      <w:pPr>
        <w:spacing w:line="360" w:lineRule="auto"/>
        <w:ind w:firstLine="480" w:firstLineChars="200"/>
        <w:rPr>
          <w:rFonts w:ascii="宋体" w:hAnsi="宋体" w:cs="仿宋"/>
          <w:bCs/>
          <w:sz w:val="24"/>
        </w:rPr>
      </w:pPr>
      <w:r>
        <w:rPr>
          <w:rFonts w:hint="eastAsia" w:ascii="宋体" w:hAnsi="宋体" w:cs="仿宋"/>
          <w:bCs/>
          <w:sz w:val="24"/>
        </w:rPr>
        <w:t>2、从蔬菜色泽看，各种蔬菜都应具有本品种固有的颜色，大多数有发亮的光泽，以此显示蔬菜的成熟度及鲜嫩程度。</w:t>
      </w:r>
    </w:p>
    <w:p>
      <w:pPr>
        <w:spacing w:line="360" w:lineRule="auto"/>
        <w:ind w:firstLine="480" w:firstLineChars="200"/>
        <w:rPr>
          <w:rFonts w:ascii="宋体" w:hAnsi="宋体" w:cs="仿宋"/>
          <w:bCs/>
          <w:sz w:val="24"/>
        </w:rPr>
      </w:pPr>
      <w:r>
        <w:rPr>
          <w:rFonts w:hint="eastAsia" w:ascii="宋体" w:hAnsi="宋体" w:cs="仿宋"/>
          <w:bCs/>
          <w:sz w:val="24"/>
        </w:rPr>
        <w:t>3、从蔬菜气味看，多数蔬菜具有清馨、甘辛香、甜酸香等气味，可凭嗅觉识别不同品种的质量，不允许有腐烂变质的亚硝酸盐味和其他异常气味。</w:t>
      </w:r>
    </w:p>
    <w:p>
      <w:pPr>
        <w:spacing w:line="360" w:lineRule="auto"/>
        <w:ind w:firstLine="480" w:firstLineChars="200"/>
        <w:rPr>
          <w:rFonts w:ascii="宋体" w:hAnsi="宋体" w:cs="仿宋"/>
          <w:bCs/>
          <w:sz w:val="24"/>
        </w:rPr>
      </w:pPr>
      <w:r>
        <w:rPr>
          <w:rFonts w:hint="eastAsia" w:ascii="宋体" w:hAnsi="宋体" w:cs="仿宋"/>
          <w:bCs/>
          <w:sz w:val="24"/>
        </w:rPr>
        <w:t>4、从蔬菜滋味看，因品种不同而各异，多数蔬菜滋味甘淡、甜酸、清爽鲜美，少数具有辛酸、苦涩等特殊风味以刺激食欲，如失去本品种原有的滋味即为异常。</w:t>
      </w:r>
    </w:p>
    <w:p>
      <w:pPr>
        <w:spacing w:line="360" w:lineRule="auto"/>
        <w:ind w:firstLine="480" w:firstLineChars="200"/>
        <w:rPr>
          <w:rFonts w:ascii="宋体" w:hAnsi="宋体" w:cs="黑体"/>
          <w:bCs/>
          <w:kern w:val="44"/>
          <w:sz w:val="24"/>
        </w:rPr>
      </w:pPr>
      <w:r>
        <w:rPr>
          <w:rFonts w:ascii="宋体" w:hAnsi="宋体" w:cs="仿宋"/>
          <w:bCs/>
          <w:sz w:val="24"/>
        </w:rPr>
        <w:t>5</w:t>
      </w:r>
      <w:r>
        <w:rPr>
          <w:rFonts w:hint="eastAsia" w:ascii="宋体" w:hAnsi="宋体" w:cs="仿宋"/>
          <w:bCs/>
          <w:sz w:val="24"/>
        </w:rPr>
        <w:t>、从蔬菜形态看，应尽量避免由于客观因素而造成的各种非正常、不新鲜的蔬菜，例如萎蔫、枯塌、损伤、病变、虫害侵蚀等引起的形态异常等。</w:t>
      </w:r>
    </w:p>
    <w:p>
      <w:pPr>
        <w:spacing w:line="360" w:lineRule="auto"/>
        <w:ind w:firstLine="480" w:firstLineChars="200"/>
        <w:rPr>
          <w:rFonts w:ascii="宋体" w:hAnsi="宋体" w:cs="黑体"/>
          <w:bCs/>
          <w:kern w:val="44"/>
          <w:sz w:val="24"/>
        </w:rPr>
      </w:pPr>
      <w:r>
        <w:rPr>
          <w:rFonts w:hint="eastAsia" w:ascii="宋体" w:hAnsi="宋体" w:cs="黑体"/>
          <w:bCs/>
          <w:kern w:val="44"/>
          <w:sz w:val="24"/>
        </w:rPr>
        <w:t>（二）畜禽肉</w:t>
      </w:r>
    </w:p>
    <w:p>
      <w:pPr>
        <w:spacing w:line="360" w:lineRule="auto"/>
        <w:ind w:firstLine="480" w:firstLineChars="200"/>
        <w:rPr>
          <w:rFonts w:ascii="宋体" w:hAnsi="宋体" w:cs="仿宋"/>
          <w:bCs/>
          <w:sz w:val="24"/>
        </w:rPr>
      </w:pPr>
      <w:r>
        <w:rPr>
          <w:rFonts w:hint="eastAsia" w:ascii="宋体" w:hAnsi="宋体" w:cs="仿宋"/>
          <w:bCs/>
          <w:sz w:val="24"/>
        </w:rPr>
        <w:t>1、畜禽肉类需具有《营业执照》、《食品经营许可证》或《食品生产许可证》或《定点屠宰证》、《动物防疫合格证》。</w:t>
      </w:r>
    </w:p>
    <w:p>
      <w:pPr>
        <w:spacing w:line="360" w:lineRule="auto"/>
        <w:ind w:firstLine="480" w:firstLineChars="200"/>
        <w:rPr>
          <w:rFonts w:ascii="宋体" w:hAnsi="宋体" w:cs="仿宋"/>
          <w:bCs/>
          <w:sz w:val="24"/>
        </w:rPr>
      </w:pPr>
      <w:r>
        <w:rPr>
          <w:rFonts w:ascii="宋体" w:hAnsi="宋体" w:cs="仿宋"/>
          <w:bCs/>
          <w:sz w:val="24"/>
        </w:rPr>
        <w:t>2</w:t>
      </w:r>
      <w:r>
        <w:rPr>
          <w:rFonts w:hint="eastAsia" w:ascii="宋体" w:hAnsi="宋体" w:cs="仿宋"/>
          <w:bCs/>
          <w:sz w:val="24"/>
        </w:rPr>
        <w:t>、新鲜肉脂肪结白，肌肉有光泽，红色均匀，外表微干或微湿润，用手指压在瘦肉上的凹陷能立即恢复，弹性好，且有鲜肉特有的正常气味；冰冻肉品必须有完整包装，生产厂家、日期、品名等标识清楚，出成率90%以上。包装需采用适用的一次性包装方式，无明显渗水。与招标文件要求的品质相符。肉类、鲜活类、水产品：必须从正规肉联厂购买新鲜肉食、鲜活类及海产品，必须有正规卫生防疫检疫部门的盖章标志，有厂家提供的卫生防疫证明，严禁从无正规手续、黑市、肉贩子手中购买病、死等牲畜。冻品的可用保质期（以送达之日起计算）不得少于2/3有效期天数，进口冻品可用保质期不得少于1/2有效期天数。</w:t>
      </w:r>
    </w:p>
    <w:p>
      <w:pPr>
        <w:spacing w:line="360" w:lineRule="auto"/>
        <w:ind w:firstLine="480" w:firstLineChars="200"/>
        <w:rPr>
          <w:rFonts w:ascii="宋体" w:hAnsi="宋体" w:cs="黑体"/>
          <w:bCs/>
          <w:kern w:val="44"/>
          <w:sz w:val="24"/>
        </w:rPr>
      </w:pPr>
      <w:r>
        <w:rPr>
          <w:rFonts w:hint="eastAsia" w:ascii="宋体" w:hAnsi="宋体" w:cs="仿宋"/>
          <w:bCs/>
          <w:sz w:val="24"/>
        </w:rPr>
        <w:t>（三）水产品</w:t>
      </w:r>
    </w:p>
    <w:p>
      <w:pPr>
        <w:spacing w:line="360" w:lineRule="auto"/>
        <w:ind w:firstLine="480" w:firstLineChars="200"/>
        <w:rPr>
          <w:rFonts w:ascii="宋体" w:hAnsi="宋体" w:cs="黑体"/>
          <w:bCs/>
          <w:kern w:val="44"/>
          <w:sz w:val="24"/>
        </w:rPr>
      </w:pPr>
      <w:r>
        <w:rPr>
          <w:rFonts w:hint="eastAsia" w:ascii="宋体" w:hAnsi="宋体" w:cs="仿宋"/>
          <w:bCs/>
          <w:sz w:val="24"/>
        </w:rPr>
        <w:t>水产品属同一品种规格，肉质鲜嫩形态好，色泽正常。塘鱼类：罗非鱼、草鱼、鳊鱼、鳙鱼、鲢鱼等。鱼体健康，体态匀称，游动活泼，体色鲜明，体表光滑，眼睛亮丽，鳞片鳍条完好。冻品的可用保质期（以送达之日起计算）不得少于2/3有效期天数，进口冻品可用保质期不得少于1/2有效期天数，供应商能够按照厨房要求加工宰杀洗净并入库。</w:t>
      </w:r>
    </w:p>
    <w:p>
      <w:pPr>
        <w:spacing w:line="360" w:lineRule="auto"/>
        <w:ind w:firstLine="480" w:firstLineChars="200"/>
        <w:rPr>
          <w:rFonts w:ascii="宋体" w:hAnsi="宋体" w:cs="黑体"/>
          <w:bCs/>
          <w:kern w:val="44"/>
          <w:sz w:val="24"/>
        </w:rPr>
      </w:pPr>
      <w:r>
        <w:rPr>
          <w:rFonts w:hint="eastAsia" w:ascii="宋体" w:hAnsi="宋体" w:cs="黑体"/>
          <w:bCs/>
          <w:kern w:val="44"/>
          <w:sz w:val="24"/>
        </w:rPr>
        <w:t>（四）干货调味品</w:t>
      </w:r>
    </w:p>
    <w:p>
      <w:pPr>
        <w:spacing w:line="360" w:lineRule="auto"/>
        <w:ind w:firstLine="480" w:firstLineChars="200"/>
        <w:rPr>
          <w:rFonts w:ascii="宋体" w:hAnsi="宋体" w:cs="黑体"/>
          <w:bCs/>
          <w:kern w:val="44"/>
          <w:sz w:val="24"/>
        </w:rPr>
      </w:pPr>
      <w:r>
        <w:rPr>
          <w:rFonts w:hint="eastAsia" w:ascii="宋体" w:hAnsi="宋体" w:cs="黑体"/>
          <w:bCs/>
          <w:kern w:val="44"/>
          <w:sz w:val="24"/>
        </w:rPr>
        <w:t>1、调料、干货是餐饮服务的基础材料，必须符合国家质量标准，具有产品检验合格证和卫生许可证，无杂质、无霉变、无异味，保质保量、足斤足称。内外包装完整并标有生产日期及保质期，内外包装显示信息须一致，且剩余保质期（自送达之日起计算）不得少于产品保质期的2/3。</w:t>
      </w:r>
    </w:p>
    <w:p>
      <w:pPr>
        <w:spacing w:line="360" w:lineRule="auto"/>
        <w:ind w:firstLine="480" w:firstLineChars="200"/>
        <w:rPr>
          <w:rFonts w:ascii="宋体" w:hAnsi="宋体" w:cs="黑体"/>
          <w:bCs/>
          <w:kern w:val="44"/>
          <w:sz w:val="24"/>
        </w:rPr>
      </w:pPr>
      <w:r>
        <w:rPr>
          <w:rFonts w:hint="eastAsia" w:ascii="宋体" w:hAnsi="宋体" w:cs="黑体"/>
          <w:bCs/>
          <w:kern w:val="44"/>
          <w:sz w:val="24"/>
        </w:rPr>
        <w:t xml:space="preserve">2、必须从正规的商场、超市、以及调料专业机构购买，符合采购方提出的标准，符合国家质量检疫部门的相关要求。 </w:t>
      </w:r>
    </w:p>
    <w:p>
      <w:pPr>
        <w:spacing w:line="360" w:lineRule="auto"/>
        <w:ind w:firstLine="480" w:firstLineChars="200"/>
        <w:rPr>
          <w:rFonts w:ascii="宋体" w:hAnsi="宋体" w:cs="黑体"/>
          <w:bCs/>
          <w:kern w:val="44"/>
          <w:sz w:val="24"/>
        </w:rPr>
      </w:pPr>
      <w:r>
        <w:rPr>
          <w:rFonts w:hint="eastAsia" w:ascii="宋体" w:hAnsi="宋体" w:cs="黑体"/>
          <w:bCs/>
          <w:kern w:val="44"/>
          <w:sz w:val="24"/>
        </w:rPr>
        <w:t>3、对照合同检查所送物资品牌、规格是否符合要求，对有包装的食品，检查包装是否完整，有无破损，查看食品包装标签应符合《食品安全国家标准 预包装食品标签通则》、强制标示内容：包括食品名称、配料表、净含量、规格、生产者（或）经销者的名称、地址和联系方式、生产日期和保质期、贮存条件、食品生产许可证编号、产品标准代号、质量（品质）等级等内容，对实行食品质量（SC）安全市场准入制的食品，还应检查SC标志及 SC代码。</w:t>
      </w:r>
    </w:p>
    <w:p>
      <w:pPr>
        <w:spacing w:line="360" w:lineRule="auto"/>
        <w:ind w:firstLine="480" w:firstLineChars="200"/>
        <w:rPr>
          <w:rFonts w:ascii="宋体" w:hAnsi="宋体" w:cs="黑体"/>
          <w:bCs/>
          <w:kern w:val="44"/>
          <w:sz w:val="24"/>
        </w:rPr>
      </w:pPr>
      <w:r>
        <w:rPr>
          <w:rFonts w:hint="eastAsia" w:ascii="宋体" w:hAnsi="宋体" w:cs="黑体"/>
          <w:bCs/>
          <w:kern w:val="44"/>
          <w:sz w:val="24"/>
        </w:rPr>
        <w:t>4、目前国家实行食品质量（SC）安全市场准入制的食品共 28 类：大米、小麦粉、酱油、醋、食用植物油、肉制品、乳制品、饮料、味精、方便面、饼干、罐头食品、冷冻饮品、速冻面米食品、膨化食品、糖果制品、茶叶、葡萄酒、果酒、啤酒、黄酒、酱腌菜、蜜饯、炒货食品、蛋制品、可可制品、水产加工品、淀粉及淀粉制品（包括粉丝、粉条）。</w:t>
      </w:r>
    </w:p>
    <w:p>
      <w:pPr>
        <w:spacing w:line="360" w:lineRule="auto"/>
        <w:ind w:firstLine="480" w:firstLineChars="200"/>
        <w:rPr>
          <w:rFonts w:ascii="宋体" w:hAnsi="宋体" w:cs="黑体"/>
          <w:bCs/>
          <w:kern w:val="44"/>
          <w:sz w:val="24"/>
        </w:rPr>
      </w:pPr>
      <w:r>
        <w:rPr>
          <w:rFonts w:hint="eastAsia" w:ascii="宋体" w:hAnsi="宋体" w:cs="黑体"/>
          <w:bCs/>
          <w:kern w:val="44"/>
          <w:sz w:val="24"/>
        </w:rPr>
        <w:t>5、通过食品质量感官鉴别包装内产品及无包装产品，依靠视觉、嗅觉、味觉、触觉等鉴定食品的外观形态、色泽、气味、滋味和硬度（稠度）是否符合质量要求。</w:t>
      </w:r>
    </w:p>
    <w:p>
      <w:pPr>
        <w:tabs>
          <w:tab w:val="left" w:pos="180"/>
          <w:tab w:val="left" w:pos="567"/>
          <w:tab w:val="left" w:pos="1620"/>
        </w:tabs>
        <w:spacing w:line="360" w:lineRule="auto"/>
        <w:ind w:firstLine="480" w:firstLineChars="200"/>
        <w:rPr>
          <w:rFonts w:ascii="宋体" w:hAnsi="宋体"/>
          <w:bCs/>
          <w:sz w:val="24"/>
        </w:rPr>
      </w:pPr>
      <w:r>
        <w:rPr>
          <w:rFonts w:hint="eastAsia" w:ascii="宋体" w:hAnsi="宋体"/>
          <w:bCs/>
          <w:sz w:val="24"/>
        </w:rPr>
        <w:t>三、产品具体要求：</w:t>
      </w:r>
    </w:p>
    <w:p>
      <w:pPr>
        <w:spacing w:line="360" w:lineRule="auto"/>
        <w:ind w:firstLine="480" w:firstLineChars="200"/>
        <w:rPr>
          <w:rFonts w:ascii="宋体" w:hAnsi="宋体"/>
          <w:bCs/>
          <w:sz w:val="24"/>
        </w:rPr>
      </w:pPr>
      <w:r>
        <w:rPr>
          <w:rFonts w:hint="eastAsia" w:ascii="宋体" w:hAnsi="宋体"/>
          <w:bCs/>
          <w:sz w:val="24"/>
        </w:rPr>
        <w:t>（一）蔬菜</w:t>
      </w:r>
    </w:p>
    <w:p>
      <w:pPr>
        <w:spacing w:line="360" w:lineRule="auto"/>
        <w:ind w:firstLine="480" w:firstLineChars="200"/>
        <w:rPr>
          <w:rFonts w:ascii="宋体" w:hAnsi="宋体" w:cs="仿宋"/>
          <w:bCs/>
          <w:sz w:val="24"/>
        </w:rPr>
      </w:pPr>
      <w:r>
        <w:rPr>
          <w:rFonts w:hint="eastAsia" w:ascii="宋体" w:hAnsi="宋体" w:cs="仿宋"/>
          <w:bCs/>
          <w:sz w:val="24"/>
        </w:rPr>
        <w:t>1、叶菜类：生菜、白菜、通心菜、苋菜等绿叶菜类及大白菜、椰菜等普通叶菜。属同一品种规格，肉质鲜嫩形态好，色泽正常，茎基部削平，无枯黄叶、病叶、泥土、明显机械伤和病虫害伤，无烧心焦边、腐烂等现象，无异味，结球叶菜要结球适度。</w:t>
      </w:r>
    </w:p>
    <w:p>
      <w:pPr>
        <w:spacing w:line="360" w:lineRule="auto"/>
        <w:ind w:firstLine="480" w:firstLineChars="200"/>
        <w:rPr>
          <w:rFonts w:ascii="宋体" w:hAnsi="宋体" w:cs="仿宋"/>
          <w:bCs/>
          <w:sz w:val="24"/>
        </w:rPr>
      </w:pPr>
      <w:r>
        <w:rPr>
          <w:rFonts w:hint="eastAsia" w:ascii="宋体" w:hAnsi="宋体" w:cs="仿宋"/>
          <w:bCs/>
          <w:sz w:val="24"/>
        </w:rPr>
        <w:t>2、茄果类：西红柿、茄瓜、尖椒、长茄子、圆椒、辣椒等，属于同一品种规格，须色泽鲜艳、果实圆整、光洁，成熟度适中、整齐，无烂果、异味、病虫和明显机械损伤。果实整洁，成熟度适中，无裂果及空洞现象，茄果不能有裂蒂及果皮变硬现象，无腐烂、异味，无明显机械伤。</w:t>
      </w:r>
    </w:p>
    <w:p>
      <w:pPr>
        <w:spacing w:line="360" w:lineRule="auto"/>
        <w:ind w:firstLine="480" w:firstLineChars="200"/>
        <w:rPr>
          <w:rFonts w:ascii="宋体" w:hAnsi="宋体" w:cs="仿宋"/>
          <w:bCs/>
          <w:sz w:val="24"/>
        </w:rPr>
      </w:pPr>
      <w:r>
        <w:rPr>
          <w:rFonts w:hint="eastAsia" w:ascii="宋体" w:hAnsi="宋体" w:cs="仿宋"/>
          <w:bCs/>
          <w:sz w:val="24"/>
        </w:rPr>
        <w:t>3、瓜果类：黄瓜、青瓜冬瓜、丝瓜、苦瓜、南瓜、佛手瓜等。属同一品种规格，色泽一致，无疤点，无断裂，无腐烂、异味、明显机械伤，不带泥土瓜条均匀，无畸形瓜、虫害、烂瓜，无明显机械伤。</w:t>
      </w:r>
    </w:p>
    <w:p>
      <w:pPr>
        <w:spacing w:line="360" w:lineRule="auto"/>
        <w:ind w:firstLine="480" w:firstLineChars="200"/>
        <w:rPr>
          <w:rFonts w:ascii="宋体" w:hAnsi="宋体" w:cs="仿宋"/>
          <w:bCs/>
          <w:sz w:val="24"/>
        </w:rPr>
      </w:pPr>
      <w:r>
        <w:rPr>
          <w:rFonts w:hint="eastAsia" w:ascii="宋体" w:hAnsi="宋体" w:cs="仿宋"/>
          <w:bCs/>
          <w:sz w:val="24"/>
        </w:rPr>
        <w:t>4、根菜类：萝卜、胡萝卜等。属同一品种规格，皮细光滑，肉质脆嫩致密新鲜，无腐烂、裂痕、糠心、异味，不带泥沙，不带茎叶和须根。</w:t>
      </w:r>
    </w:p>
    <w:p>
      <w:pPr>
        <w:spacing w:line="360" w:lineRule="auto"/>
        <w:ind w:firstLine="480" w:firstLineChars="200"/>
        <w:rPr>
          <w:rFonts w:ascii="宋体" w:hAnsi="宋体" w:cs="仿宋"/>
          <w:bCs/>
          <w:sz w:val="24"/>
        </w:rPr>
      </w:pPr>
      <w:r>
        <w:rPr>
          <w:rFonts w:hint="eastAsia" w:ascii="宋体" w:hAnsi="宋体" w:cs="仿宋"/>
          <w:bCs/>
          <w:sz w:val="24"/>
        </w:rPr>
        <w:t>5、薯芋类：包括马铃薯、香芋、姜、豆薯等，属同一品种规格，色泽一致，不带泥沙，不带茎叶、须根，无机械伤和病虫害斑，无腐烂、干瘪。马铃薯不发软、不长芽、不腐烂，表皮未出现绿色。</w:t>
      </w:r>
    </w:p>
    <w:p>
      <w:pPr>
        <w:spacing w:line="360" w:lineRule="auto"/>
        <w:ind w:firstLine="480" w:firstLineChars="200"/>
        <w:rPr>
          <w:rFonts w:ascii="宋体" w:hAnsi="宋体" w:cs="仿宋"/>
          <w:bCs/>
          <w:sz w:val="24"/>
        </w:rPr>
      </w:pPr>
      <w:r>
        <w:rPr>
          <w:rFonts w:hint="eastAsia" w:ascii="宋体" w:hAnsi="宋体" w:cs="仿宋"/>
          <w:bCs/>
          <w:sz w:val="24"/>
        </w:rPr>
        <w:t>6、葱蒜类：葱、蒜、韭菜、洋葱等。属同一品种规格，允许葱、青蒜类保留干净须根，葱、蒜、韭菜不带老叶，蒜头、洋葱去根去枯叶，可食部分新鲜幼嫩，无腐烂、异味。</w:t>
      </w:r>
    </w:p>
    <w:p>
      <w:pPr>
        <w:spacing w:line="360" w:lineRule="auto"/>
        <w:ind w:firstLine="480" w:firstLineChars="200"/>
        <w:rPr>
          <w:rFonts w:ascii="宋体" w:hAnsi="宋体" w:cs="仿宋"/>
          <w:bCs/>
          <w:sz w:val="24"/>
        </w:rPr>
      </w:pPr>
      <w:r>
        <w:rPr>
          <w:rFonts w:hint="eastAsia" w:ascii="宋体" w:hAnsi="宋体" w:cs="仿宋"/>
          <w:bCs/>
          <w:sz w:val="24"/>
        </w:rPr>
        <w:t>7、水生菜类：藕、慈菇、茭白、马蹄、菱等。属同一品种规格，肉质嫩，成熟度适中，无腐烂、异味，无明显机械伤，不带泥土和杂质，不干瘪，茭白不黑心。多年生类包括竹笋，属同一品种规格，笋体幼嫩，无病虫害斑，无明显机械伤。</w:t>
      </w:r>
    </w:p>
    <w:p>
      <w:pPr>
        <w:spacing w:line="360" w:lineRule="auto"/>
        <w:ind w:firstLine="480" w:firstLineChars="200"/>
        <w:rPr>
          <w:rFonts w:ascii="宋体" w:hAnsi="宋体" w:cs="仿宋"/>
          <w:bCs/>
          <w:sz w:val="24"/>
        </w:rPr>
      </w:pPr>
      <w:r>
        <w:rPr>
          <w:rFonts w:hint="eastAsia" w:ascii="宋体" w:hAnsi="宋体" w:cs="仿宋"/>
          <w:bCs/>
          <w:sz w:val="24"/>
        </w:rPr>
        <w:t>8、芽苗类：绿豆芽、黄豆芽等。芽苗幼嫩，不带豆壳杂质，新鲜，不浸水，无腐烂、异味。</w:t>
      </w:r>
    </w:p>
    <w:p>
      <w:pPr>
        <w:spacing w:line="360" w:lineRule="auto"/>
        <w:ind w:firstLine="480" w:firstLineChars="200"/>
        <w:rPr>
          <w:rFonts w:ascii="宋体" w:hAnsi="宋体" w:cs="仿宋"/>
          <w:bCs/>
          <w:sz w:val="24"/>
        </w:rPr>
      </w:pPr>
      <w:r>
        <w:rPr>
          <w:rFonts w:hint="eastAsia" w:ascii="宋体" w:hAnsi="宋体" w:cs="仿宋"/>
          <w:bCs/>
          <w:sz w:val="24"/>
        </w:rPr>
        <w:t>9、香辛类：西芹、芹菜、香菜等。</w:t>
      </w:r>
    </w:p>
    <w:p>
      <w:pPr>
        <w:spacing w:line="360" w:lineRule="auto"/>
        <w:ind w:firstLine="480" w:firstLineChars="200"/>
        <w:rPr>
          <w:rFonts w:ascii="宋体" w:hAnsi="宋体" w:cs="仿宋"/>
          <w:bCs/>
          <w:sz w:val="24"/>
        </w:rPr>
      </w:pPr>
      <w:r>
        <w:rPr>
          <w:rFonts w:hint="eastAsia" w:ascii="宋体" w:hAnsi="宋体" w:cs="仿宋"/>
          <w:bCs/>
          <w:sz w:val="24"/>
        </w:rPr>
        <w:t>1</w:t>
      </w:r>
      <w:r>
        <w:rPr>
          <w:rFonts w:ascii="宋体" w:hAnsi="宋体" w:cs="仿宋"/>
          <w:bCs/>
          <w:sz w:val="24"/>
        </w:rPr>
        <w:t>0</w:t>
      </w:r>
      <w:r>
        <w:rPr>
          <w:rFonts w:hint="eastAsia" w:ascii="宋体" w:hAnsi="宋体" w:cs="仿宋"/>
          <w:bCs/>
          <w:sz w:val="24"/>
        </w:rPr>
        <w:t>、叶菜类：包括白菜类和绿叶菜类的各种蔬菜，属同一品种规格，须肉质鲜嫩、形态好、色泽正常；无枯黄叶、病叶、泥土、无明显机械伤和病虫害伤；无烧心焦边、腐烂等现象，无抽蔫（菜心除外）；菠菜和本地芹菜可带根。花椰菜、青花菜属于同一品种，形状正常，肉质细密，新鲜，无腐烂、病虫害、机械伤；花椰菜花球洁白、无毛花；青花菜无托叶，可带主茎，花球青绿色、无紫花、无枯萎现象。</w:t>
      </w:r>
    </w:p>
    <w:p>
      <w:pPr>
        <w:spacing w:line="360" w:lineRule="auto"/>
        <w:ind w:firstLine="480" w:firstLineChars="200"/>
        <w:rPr>
          <w:rFonts w:ascii="宋体" w:hAnsi="宋体" w:cs="仿宋"/>
          <w:bCs/>
          <w:sz w:val="24"/>
        </w:rPr>
      </w:pPr>
      <w:r>
        <w:rPr>
          <w:rFonts w:ascii="宋体" w:hAnsi="宋体" w:cs="仿宋"/>
          <w:bCs/>
          <w:sz w:val="24"/>
        </w:rPr>
        <w:t>11</w:t>
      </w:r>
      <w:r>
        <w:rPr>
          <w:rFonts w:hint="eastAsia" w:ascii="宋体" w:hAnsi="宋体" w:cs="仿宋"/>
          <w:bCs/>
          <w:sz w:val="24"/>
        </w:rPr>
        <w:t>、豆类：包括荷兰豆、四季豆、豆角、扁豆等，属同一品种规格，形态完整，成熟度适中，无病虫害斑。</w:t>
      </w:r>
    </w:p>
    <w:p>
      <w:pPr>
        <w:spacing w:line="360" w:lineRule="auto"/>
        <w:ind w:firstLine="480" w:firstLineChars="200"/>
        <w:rPr>
          <w:rFonts w:ascii="宋体" w:hAnsi="宋体" w:cs="仿宋"/>
          <w:bCs/>
          <w:sz w:val="24"/>
        </w:rPr>
      </w:pPr>
      <w:r>
        <w:rPr>
          <w:rFonts w:ascii="宋体" w:hAnsi="宋体" w:cs="仿宋"/>
          <w:bCs/>
          <w:sz w:val="24"/>
        </w:rPr>
        <w:t>12</w:t>
      </w:r>
      <w:r>
        <w:rPr>
          <w:rFonts w:hint="eastAsia" w:ascii="宋体" w:hAnsi="宋体" w:cs="仿宋"/>
          <w:bCs/>
          <w:sz w:val="24"/>
        </w:rPr>
        <w:t>、食豆仁类：籽粒饱满较均匀，无发芽，不带泥士、杂质。</w:t>
      </w:r>
    </w:p>
    <w:p>
      <w:pPr>
        <w:spacing w:line="360" w:lineRule="auto"/>
        <w:ind w:firstLine="480" w:firstLineChars="200"/>
        <w:rPr>
          <w:rFonts w:ascii="宋体" w:hAnsi="宋体"/>
          <w:bCs/>
          <w:sz w:val="24"/>
        </w:rPr>
      </w:pPr>
      <w:r>
        <w:rPr>
          <w:rFonts w:ascii="宋体" w:hAnsi="宋体" w:cs="仿宋"/>
          <w:bCs/>
          <w:sz w:val="24"/>
        </w:rPr>
        <w:t>13</w:t>
      </w:r>
      <w:r>
        <w:rPr>
          <w:rFonts w:hint="eastAsia" w:ascii="宋体" w:hAnsi="宋体" w:cs="仿宋"/>
          <w:bCs/>
          <w:sz w:val="24"/>
        </w:rPr>
        <w:t>、鲜菌类：菌体外观完整新鲜、薄厚均匀、湿润饱满，无异味、无霉变、无腐烂，根茎比例正常。</w:t>
      </w:r>
    </w:p>
    <w:p>
      <w:pPr>
        <w:spacing w:line="360" w:lineRule="auto"/>
        <w:ind w:firstLine="480" w:firstLineChars="200"/>
        <w:rPr>
          <w:rFonts w:ascii="宋体" w:hAnsi="宋体"/>
          <w:bCs/>
          <w:sz w:val="24"/>
        </w:rPr>
      </w:pPr>
      <w:r>
        <w:rPr>
          <w:rFonts w:hint="eastAsia" w:ascii="宋体" w:hAnsi="宋体"/>
          <w:bCs/>
          <w:sz w:val="24"/>
        </w:rPr>
        <w:t>（二）</w:t>
      </w:r>
      <w:r>
        <w:rPr>
          <w:rFonts w:hint="eastAsia" w:ascii="宋体" w:hAnsi="宋体" w:cs="黑体"/>
          <w:bCs/>
          <w:kern w:val="44"/>
          <w:sz w:val="24"/>
        </w:rPr>
        <w:t>畜禽肉</w:t>
      </w:r>
    </w:p>
    <w:p>
      <w:pPr>
        <w:spacing w:line="360" w:lineRule="auto"/>
        <w:ind w:firstLine="480" w:firstLineChars="200"/>
        <w:rPr>
          <w:rFonts w:ascii="宋体" w:hAnsi="宋体" w:cs="仿宋"/>
          <w:bCs/>
          <w:sz w:val="24"/>
        </w:rPr>
      </w:pPr>
      <w:r>
        <w:rPr>
          <w:rFonts w:hint="eastAsia" w:ascii="宋体" w:hAnsi="宋体" w:cs="仿宋"/>
          <w:bCs/>
          <w:sz w:val="24"/>
        </w:rPr>
        <w:t>A</w:t>
      </w:r>
      <w:r>
        <w:rPr>
          <w:rFonts w:ascii="宋体" w:hAnsi="宋体" w:cs="仿宋"/>
          <w:bCs/>
          <w:sz w:val="24"/>
        </w:rPr>
        <w:t>.</w:t>
      </w:r>
      <w:r>
        <w:rPr>
          <w:rFonts w:hint="eastAsia" w:ascii="宋体" w:hAnsi="宋体" w:cs="仿宋"/>
          <w:bCs/>
          <w:sz w:val="24"/>
        </w:rPr>
        <w:t>鲜猪肉质量标准：</w:t>
      </w:r>
    </w:p>
    <w:p>
      <w:pPr>
        <w:spacing w:line="360" w:lineRule="auto"/>
        <w:ind w:firstLine="480" w:firstLineChars="200"/>
        <w:rPr>
          <w:rFonts w:ascii="宋体" w:hAnsi="宋体" w:cs="仿宋"/>
          <w:bCs/>
          <w:sz w:val="24"/>
        </w:rPr>
      </w:pPr>
      <w:r>
        <w:rPr>
          <w:rFonts w:hint="eastAsia" w:ascii="宋体" w:hAnsi="宋体" w:cs="仿宋"/>
          <w:bCs/>
          <w:sz w:val="24"/>
        </w:rPr>
        <w:t>1、总体要求</w:t>
      </w:r>
    </w:p>
    <w:p>
      <w:pPr>
        <w:spacing w:line="360" w:lineRule="auto"/>
        <w:ind w:firstLine="480" w:firstLineChars="200"/>
        <w:rPr>
          <w:rFonts w:ascii="宋体" w:hAnsi="宋体" w:cs="仿宋"/>
          <w:bCs/>
          <w:sz w:val="24"/>
        </w:rPr>
      </w:pPr>
      <w:r>
        <w:rPr>
          <w:rFonts w:hint="eastAsia" w:ascii="宋体" w:hAnsi="宋体" w:cs="仿宋"/>
          <w:bCs/>
          <w:sz w:val="24"/>
        </w:rPr>
        <w:t>（1）白条猪肥膘厚度以第六与第七根肋骨之间平行至脊背皮内不超过 1cm 为测量标准，良杂一级猪不超过 1.5cm。</w:t>
      </w:r>
    </w:p>
    <w:p>
      <w:pPr>
        <w:spacing w:line="360" w:lineRule="auto"/>
        <w:ind w:firstLine="480" w:firstLineChars="200"/>
        <w:rPr>
          <w:rFonts w:ascii="宋体" w:hAnsi="宋体" w:cs="仿宋"/>
          <w:bCs/>
          <w:sz w:val="24"/>
        </w:rPr>
      </w:pPr>
      <w:r>
        <w:rPr>
          <w:rFonts w:hint="eastAsia" w:ascii="宋体" w:hAnsi="宋体" w:cs="仿宋"/>
          <w:bCs/>
          <w:sz w:val="24"/>
        </w:rPr>
        <w:t>（2）猪边体表无明显伤痕，无片状猪毛，后腿部盖有“良”或“特”字级别印章，并盖有“合格”椭圆开印章或宽长条肉检合格验讫印章。</w:t>
      </w:r>
    </w:p>
    <w:p>
      <w:pPr>
        <w:spacing w:line="360" w:lineRule="auto"/>
        <w:ind w:firstLine="480" w:firstLineChars="200"/>
        <w:rPr>
          <w:rFonts w:ascii="宋体" w:hAnsi="宋体" w:cs="仿宋"/>
          <w:bCs/>
          <w:sz w:val="24"/>
        </w:rPr>
      </w:pPr>
      <w:r>
        <w:rPr>
          <w:rFonts w:hint="eastAsia" w:ascii="宋体" w:hAnsi="宋体" w:cs="仿宋"/>
          <w:bCs/>
          <w:sz w:val="24"/>
        </w:rPr>
        <w:t>（3）呈鲜红色，有光泽，脂肪洁白，肉的外表微干或微湿润，不粘手，指压后凹陷立即恢复，具有新鲜猪肉的正常气味。无泥污，血污，肉边整齐，无碎肉，碎骨，按标准部位分割，精肉无多余脂肪。</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2、具体要求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（1）五花肉片：3.5mm厚*5cm长；五花肉丁：1cm见方；五花肉条（梅菜扣肉）：15cm长*7cm宽；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（2）四号肉丝：9cm长*0.4cm宽；四号肉片：5cm长*3cm宽*2.8mm厚；四号肉丁：1.3cm见方；</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（3）米粉肉肉片：7cm长*5mm厚；梅肉条：5cm*1.2cm；红烧肉块：2cm*2cm；卤肉块：1.5cm*1.5cm；肉方：4.7cm*4.7cm；</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（4）排骨块：5cm长；腔骨：2.5cm宽；猪蹄：4cm-5cm/块；</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（5）精五花：肉方6cm*6cm、肉片4mm厚、肉丁6*6mm，肉呈均匀的红色，有光泽，肉质紧密，有坚实感，肉的外表及切面微湿润，不粘手；</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（6）纯排骨：寸断为3.3-3.4cm长的块、大小均匀、搅拌均匀，肉体冻实而坚硬，敲之回音清脆，无化冻现象；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（7）四号肉：肉丝3-4mm粗、肉片2-3mm厚、肉丁6*6mm，肉呈均匀的红色，有光泽，肉质紧密，有坚实感，肉的外表及切面微湿润，不粘手；</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（8）猪蹄：1整块切5刀成6小块，必须去除一切毛污物，无异味，交货以干净、新鲜、大小适合规格要求为标准；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（9）肉馅：以3：7、4：6、5：5、2：8精碎为原料。</w:t>
      </w:r>
    </w:p>
    <w:p>
      <w:pPr>
        <w:spacing w:line="360" w:lineRule="auto"/>
        <w:ind w:firstLine="480" w:firstLineChars="200"/>
        <w:rPr>
          <w:rFonts w:ascii="宋体" w:hAnsi="宋体"/>
          <w:bCs/>
          <w:sz w:val="24"/>
        </w:rPr>
      </w:pPr>
      <w:r>
        <w:rPr>
          <w:rFonts w:hint="eastAsia" w:ascii="宋体" w:hAnsi="宋体" w:cs="仿宋"/>
          <w:bCs/>
          <w:sz w:val="24"/>
        </w:rPr>
        <w:t>供方需在北京市范围内具有合作的或设有履行合同所必需的肉联厂和生猪屠宰场。</w:t>
      </w:r>
    </w:p>
    <w:p>
      <w:pPr>
        <w:spacing w:line="360" w:lineRule="auto"/>
        <w:ind w:firstLine="480" w:firstLineChars="200"/>
        <w:rPr>
          <w:rFonts w:ascii="宋体" w:hAnsi="宋体"/>
          <w:bCs/>
          <w:sz w:val="24"/>
        </w:rPr>
      </w:pPr>
      <w:r>
        <w:rPr>
          <w:rFonts w:hint="eastAsia" w:ascii="宋体" w:hAnsi="宋体"/>
          <w:bCs/>
          <w:sz w:val="24"/>
        </w:rPr>
        <w:t>以上规格仅供参考，实际规格以拿实物到厨房，现场切，现场定，现场验货物。所有肉类货品不能用调理肉，注水肉等，必须保质保量，按时到货，按食堂需求到货，按所要的数量到货。</w:t>
      </w:r>
    </w:p>
    <w:p>
      <w:pPr>
        <w:spacing w:line="360" w:lineRule="auto"/>
        <w:ind w:firstLine="480" w:firstLineChars="200"/>
        <w:rPr>
          <w:rFonts w:ascii="宋体" w:hAnsi="宋体" w:cs="仿宋"/>
          <w:bCs/>
          <w:sz w:val="24"/>
        </w:rPr>
      </w:pPr>
      <w:r>
        <w:rPr>
          <w:rFonts w:hint="eastAsia" w:ascii="宋体" w:hAnsi="宋体" w:cs="仿宋"/>
          <w:bCs/>
          <w:sz w:val="24"/>
        </w:rPr>
        <w:t>3、冻畜肉质量标准</w:t>
      </w:r>
    </w:p>
    <w:p>
      <w:pPr>
        <w:spacing w:line="360" w:lineRule="auto"/>
        <w:ind w:firstLine="480" w:firstLineChars="200"/>
        <w:rPr>
          <w:rFonts w:ascii="宋体" w:hAnsi="宋体"/>
          <w:bCs/>
          <w:sz w:val="24"/>
        </w:rPr>
      </w:pPr>
      <w:r>
        <w:rPr>
          <w:rFonts w:hint="eastAsia" w:ascii="宋体" w:hAnsi="宋体"/>
          <w:bCs/>
          <w:sz w:val="24"/>
        </w:rPr>
        <w:t>外表颜色比冷却肉鲜明，在表面切开处为浅玫瑰色至灰色，用手或热刀触之，立刻显示鲜红色。肉坚硬，像冰一样，敲击有响声。化冻时，有肉的正常味，略潮，没有熟肉味。脂肪猪为白色。肌腱为白色，石灰色。无杂质，无肌肉风干现象，无白、黄、绿斑、污血，过多冰衣，无白霜，按标准部位分割，外包装无破损，有生产日期。</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、猪内脏及各部位肉品质量标准</w:t>
      </w:r>
    </w:p>
    <w:p>
      <w:pPr>
        <w:spacing w:line="360" w:lineRule="auto"/>
        <w:ind w:firstLine="480" w:firstLineChars="200"/>
        <w:rPr>
          <w:rFonts w:ascii="宋体" w:hAnsi="宋体"/>
          <w:bCs/>
          <w:sz w:val="24"/>
        </w:rPr>
      </w:pPr>
      <w:r>
        <w:rPr>
          <w:rFonts w:hint="eastAsia" w:ascii="宋体" w:hAnsi="宋体"/>
          <w:bCs/>
          <w:sz w:val="24"/>
        </w:rPr>
        <w:t>（1）肠的质量需求标准</w:t>
      </w:r>
    </w:p>
    <w:p>
      <w:pPr>
        <w:spacing w:line="360" w:lineRule="auto"/>
        <w:ind w:firstLine="480" w:firstLineChars="200"/>
        <w:rPr>
          <w:rFonts w:ascii="宋体" w:hAnsi="宋体"/>
          <w:bCs/>
          <w:sz w:val="24"/>
        </w:rPr>
      </w:pPr>
      <w:r>
        <w:rPr>
          <w:rFonts w:hint="eastAsia" w:ascii="宋体" w:hAnsi="宋体"/>
          <w:bCs/>
          <w:sz w:val="24"/>
        </w:rPr>
        <w:t>乳白色，稍软，略带坚韧，外形完整，无变质异味，无炎症溃疡、瘀血、充血、水肿及其他病理现象，无肠头毛圈，脂肪内容物。</w:t>
      </w:r>
    </w:p>
    <w:p>
      <w:pPr>
        <w:spacing w:line="360" w:lineRule="auto"/>
        <w:ind w:firstLine="480" w:firstLineChars="200"/>
        <w:rPr>
          <w:rFonts w:ascii="宋体" w:hAnsi="宋体"/>
          <w:bCs/>
          <w:sz w:val="24"/>
        </w:rPr>
      </w:pPr>
      <w:r>
        <w:rPr>
          <w:rFonts w:hint="eastAsia" w:ascii="宋体" w:hAnsi="宋体"/>
          <w:bCs/>
          <w:sz w:val="24"/>
        </w:rPr>
        <w:t>（2）肚的质量需求标准</w:t>
      </w:r>
    </w:p>
    <w:p>
      <w:pPr>
        <w:spacing w:line="360" w:lineRule="auto"/>
        <w:ind w:firstLine="480" w:firstLineChars="200"/>
        <w:rPr>
          <w:rFonts w:ascii="宋体" w:hAnsi="宋体"/>
          <w:bCs/>
          <w:sz w:val="24"/>
        </w:rPr>
      </w:pPr>
      <w:r>
        <w:rPr>
          <w:rFonts w:hint="eastAsia" w:ascii="宋体" w:hAnsi="宋体"/>
          <w:bCs/>
          <w:sz w:val="24"/>
        </w:rPr>
        <w:t>乳白色，组织结实，无异味，外形完整，无溃疡及其他病变现象，无内容物，黏膜，脂肪，无瘀血肠头毛圈。</w:t>
      </w:r>
    </w:p>
    <w:p>
      <w:pPr>
        <w:spacing w:line="360" w:lineRule="auto"/>
        <w:ind w:firstLine="480" w:firstLineChars="200"/>
        <w:rPr>
          <w:rFonts w:ascii="宋体" w:hAnsi="宋体"/>
          <w:bCs/>
          <w:sz w:val="24"/>
        </w:rPr>
      </w:pPr>
      <w:r>
        <w:rPr>
          <w:rFonts w:hint="eastAsia" w:ascii="宋体" w:hAnsi="宋体"/>
          <w:bCs/>
          <w:sz w:val="24"/>
        </w:rPr>
        <w:t>（3）肾的质量需求标准</w:t>
      </w:r>
    </w:p>
    <w:p>
      <w:pPr>
        <w:spacing w:line="360" w:lineRule="auto"/>
        <w:ind w:firstLine="480" w:firstLineChars="200"/>
        <w:rPr>
          <w:rFonts w:ascii="宋体" w:hAnsi="宋体"/>
          <w:bCs/>
          <w:sz w:val="24"/>
        </w:rPr>
      </w:pPr>
      <w:r>
        <w:rPr>
          <w:rFonts w:hint="eastAsia" w:ascii="宋体" w:hAnsi="宋体"/>
          <w:bCs/>
          <w:sz w:val="24"/>
        </w:rPr>
        <w:t>淡褐色，有光泽，略有弹性，组织结实，外形完整，无脂肪和肾外膜，无炎症脓肿等病变，无异臭，无杂质。</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）肝的质量需求标准</w:t>
      </w:r>
    </w:p>
    <w:p>
      <w:pPr>
        <w:spacing w:line="360" w:lineRule="auto"/>
        <w:ind w:firstLine="480" w:firstLineChars="200"/>
        <w:rPr>
          <w:rFonts w:ascii="宋体" w:hAnsi="宋体"/>
          <w:bCs/>
          <w:sz w:val="24"/>
        </w:rPr>
      </w:pPr>
      <w:r>
        <w:rPr>
          <w:rFonts w:hint="eastAsia" w:ascii="宋体" w:hAnsi="宋体"/>
          <w:bCs/>
          <w:sz w:val="24"/>
        </w:rPr>
        <w:t>红褐色或棕黄色，有光泽，湿润，略有弹性，组织结实微密，肝叶完整，无脂肪，胆囊、胆管、无寄生虫、炎症水泡、薄膜，无胆汁污染，微有鱼腥味。</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5</w:t>
      </w:r>
      <w:r>
        <w:rPr>
          <w:rFonts w:hint="eastAsia" w:ascii="宋体" w:hAnsi="宋体"/>
          <w:bCs/>
          <w:sz w:val="24"/>
        </w:rPr>
        <w:t>）口条的质量需求标准</w:t>
      </w:r>
    </w:p>
    <w:p>
      <w:pPr>
        <w:spacing w:line="360" w:lineRule="auto"/>
        <w:ind w:firstLine="480" w:firstLineChars="200"/>
        <w:rPr>
          <w:rFonts w:ascii="宋体" w:hAnsi="宋体"/>
          <w:bCs/>
          <w:sz w:val="24"/>
        </w:rPr>
      </w:pPr>
      <w:r>
        <w:rPr>
          <w:rFonts w:hint="eastAsia" w:ascii="宋体" w:hAnsi="宋体"/>
          <w:bCs/>
          <w:sz w:val="24"/>
        </w:rPr>
        <w:t>品质新鲜，外形完整，无根附着的肌肉、舌骨、舌苔、脂肪、无病伤，无异物。</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）猪尾质量需求标准</w:t>
      </w:r>
    </w:p>
    <w:p>
      <w:pPr>
        <w:spacing w:line="360" w:lineRule="auto"/>
        <w:ind w:firstLine="480" w:firstLineChars="200"/>
        <w:rPr>
          <w:rFonts w:ascii="宋体" w:hAnsi="宋体"/>
          <w:bCs/>
          <w:sz w:val="24"/>
        </w:rPr>
      </w:pPr>
      <w:r>
        <w:rPr>
          <w:rFonts w:hint="eastAsia" w:ascii="宋体" w:hAnsi="宋体"/>
          <w:bCs/>
          <w:sz w:val="24"/>
        </w:rPr>
        <w:t>品质新鲜，去毛洁净，不带毛根或绒毛。</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、蹄筋质量需求标准</w:t>
      </w:r>
    </w:p>
    <w:p>
      <w:pPr>
        <w:spacing w:line="360" w:lineRule="auto"/>
        <w:ind w:firstLine="480" w:firstLineChars="200"/>
        <w:rPr>
          <w:rFonts w:ascii="宋体" w:hAnsi="宋体"/>
          <w:bCs/>
          <w:sz w:val="24"/>
        </w:rPr>
      </w:pPr>
      <w:r>
        <w:rPr>
          <w:rFonts w:hint="eastAsia" w:ascii="宋体" w:hAnsi="宋体"/>
          <w:bCs/>
          <w:sz w:val="24"/>
        </w:rPr>
        <w:t>品质新鲜，无色透明，表面光亮，无油脂，无精肉，无充血且顺直、干燥。</w:t>
      </w:r>
    </w:p>
    <w:p>
      <w:pPr>
        <w:spacing w:line="360" w:lineRule="auto"/>
        <w:ind w:firstLine="480" w:firstLineChars="200"/>
        <w:rPr>
          <w:rFonts w:ascii="宋体" w:hAnsi="宋体" w:cs="仿宋"/>
          <w:bCs/>
          <w:sz w:val="24"/>
        </w:rPr>
      </w:pPr>
      <w:r>
        <w:rPr>
          <w:rFonts w:hint="eastAsia" w:ascii="宋体" w:hAnsi="宋体" w:cs="仿宋"/>
          <w:bCs/>
          <w:sz w:val="24"/>
        </w:rPr>
        <w:t>B、鲜牛、羊肉质量标准：</w:t>
      </w:r>
    </w:p>
    <w:p>
      <w:pPr>
        <w:spacing w:line="360" w:lineRule="auto"/>
        <w:ind w:firstLine="480" w:firstLineChars="200"/>
        <w:rPr>
          <w:rFonts w:ascii="宋体" w:hAnsi="宋体"/>
          <w:bCs/>
          <w:sz w:val="24"/>
        </w:rPr>
      </w:pPr>
      <w:r>
        <w:rPr>
          <w:rFonts w:hint="eastAsia" w:ascii="宋体" w:hAnsi="宋体"/>
          <w:bCs/>
          <w:sz w:val="24"/>
        </w:rPr>
        <w:t>1、牛羊肉：肌肉红色均匀，有光泽，脂肪洁白（羊）或淡黄色（牛）。外表微干或有风干膜，触摸不粘手。弹性好，指压后凹陷立即恢复。具有鲜牛，羊肉正常气味，无泥污，血污，肉边整齐，无碎肉，碎骨，按标准部位分割，无多余脂肪及血管。</w:t>
      </w:r>
    </w:p>
    <w:p>
      <w:pPr>
        <w:spacing w:line="360" w:lineRule="auto"/>
        <w:ind w:firstLine="480" w:firstLineChars="200"/>
        <w:rPr>
          <w:rFonts w:ascii="宋体" w:hAnsi="宋体"/>
          <w:bCs/>
          <w:sz w:val="24"/>
        </w:rPr>
      </w:pPr>
      <w:r>
        <w:rPr>
          <w:rFonts w:hint="eastAsia" w:ascii="宋体" w:hAnsi="宋体"/>
          <w:bCs/>
          <w:sz w:val="24"/>
        </w:rPr>
        <w:t>2、牛肉筋：4*4cm见方；牛肉片：8*4cm；牛后腿肉：整腿不加工；牛腩块：4*4cm见方；牛蹄筋：食堂自加工。</w:t>
      </w:r>
    </w:p>
    <w:p>
      <w:pPr>
        <w:spacing w:line="360" w:lineRule="auto"/>
        <w:ind w:firstLine="480" w:firstLineChars="200"/>
        <w:rPr>
          <w:rFonts w:ascii="宋体" w:hAnsi="宋体" w:cs="仿宋"/>
          <w:bCs/>
          <w:sz w:val="24"/>
        </w:rPr>
      </w:pPr>
      <w:r>
        <w:rPr>
          <w:rFonts w:ascii="宋体" w:hAnsi="宋体"/>
          <w:bCs/>
          <w:sz w:val="24"/>
        </w:rPr>
        <w:t>3</w:t>
      </w:r>
      <w:r>
        <w:rPr>
          <w:rFonts w:hint="eastAsia" w:ascii="宋体" w:hAnsi="宋体"/>
          <w:bCs/>
          <w:sz w:val="24"/>
        </w:rPr>
        <w:t>、</w:t>
      </w:r>
      <w:r>
        <w:rPr>
          <w:rFonts w:hint="eastAsia" w:ascii="宋体" w:hAnsi="宋体" w:cs="仿宋"/>
          <w:bCs/>
          <w:sz w:val="24"/>
        </w:rPr>
        <w:t>冻畜肉质量标准</w:t>
      </w:r>
    </w:p>
    <w:p>
      <w:pPr>
        <w:spacing w:line="360" w:lineRule="auto"/>
        <w:ind w:firstLine="480" w:firstLineChars="200"/>
        <w:rPr>
          <w:rFonts w:ascii="宋体" w:hAnsi="宋体" w:cs="仿宋"/>
          <w:bCs/>
          <w:sz w:val="24"/>
        </w:rPr>
      </w:pPr>
      <w:r>
        <w:rPr>
          <w:rFonts w:hint="eastAsia" w:ascii="宋体" w:hAnsi="宋体" w:cs="仿宋"/>
          <w:bCs/>
          <w:sz w:val="24"/>
        </w:rPr>
        <w:t>外表颜色比冷却肉鲜明，在表面切开处为浅玫瑰色至灰色，用手或热刀触之，立刻显示鲜红色。肉坚硬，像冰一样，敲击有响声。化冻时，有肉的正常味，略潮，没有熟肉味。脂肪羊为白色，牛为淡黄色。肌腱为白色，石灰色。无杂质，无肌肉风干现象，无白、黄、绿斑、污血，过多冰衣，无白霜，按标准部位分割，外包装无破损，有生产日期。</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、蹄筋质量需求标准</w:t>
      </w:r>
    </w:p>
    <w:p>
      <w:pPr>
        <w:spacing w:line="360" w:lineRule="auto"/>
        <w:ind w:firstLine="480" w:firstLineChars="200"/>
        <w:rPr>
          <w:rFonts w:ascii="宋体" w:hAnsi="宋体"/>
          <w:bCs/>
          <w:sz w:val="24"/>
        </w:rPr>
      </w:pPr>
      <w:r>
        <w:rPr>
          <w:rFonts w:hint="eastAsia" w:ascii="宋体" w:hAnsi="宋体"/>
          <w:bCs/>
          <w:sz w:val="24"/>
        </w:rPr>
        <w:t>品质新鲜，无色透明，表面光亮，无油脂，无精肉，无充血且顺直、干燥。</w:t>
      </w:r>
    </w:p>
    <w:p>
      <w:pPr>
        <w:spacing w:line="360" w:lineRule="auto"/>
        <w:ind w:firstLine="480" w:firstLineChars="200"/>
        <w:rPr>
          <w:rFonts w:ascii="宋体" w:hAnsi="宋体"/>
          <w:bCs/>
          <w:sz w:val="24"/>
        </w:rPr>
      </w:pPr>
      <w:r>
        <w:rPr>
          <w:rFonts w:hint="eastAsia" w:ascii="宋体" w:hAnsi="宋体" w:cs="仿宋"/>
          <w:bCs/>
          <w:sz w:val="24"/>
        </w:rPr>
        <w:t>C、鲜鸡、鸭肉质量标准：</w:t>
      </w:r>
    </w:p>
    <w:p>
      <w:pPr>
        <w:spacing w:line="360" w:lineRule="auto"/>
        <w:ind w:firstLine="480" w:firstLineChars="200"/>
        <w:rPr>
          <w:rFonts w:ascii="宋体" w:hAnsi="宋体"/>
          <w:bCs/>
          <w:sz w:val="24"/>
        </w:rPr>
      </w:pPr>
      <w:r>
        <w:rPr>
          <w:rFonts w:hint="eastAsia" w:ascii="宋体" w:hAnsi="宋体"/>
          <w:bCs/>
          <w:sz w:val="24"/>
        </w:rPr>
        <w:t>1、兔肉：肌肉红色均匀，有光泽，脂肪洁白（兔）。外表微干或有风干膜，触摸不粘手。弹性好，指压后凹陷立即恢复。具有鲜肉正常气味，无泥污，血污，肉边整齐，无碎肉，碎骨，按标准部位分割，无多余脂肪及血管。</w:t>
      </w:r>
    </w:p>
    <w:p>
      <w:pPr>
        <w:spacing w:line="360" w:lineRule="auto"/>
        <w:ind w:firstLine="480" w:firstLineChars="200"/>
        <w:rPr>
          <w:rFonts w:ascii="宋体" w:hAnsi="宋体"/>
          <w:bCs/>
          <w:sz w:val="24"/>
        </w:rPr>
      </w:pPr>
      <w:r>
        <w:rPr>
          <w:rFonts w:hint="eastAsia" w:ascii="宋体" w:hAnsi="宋体"/>
          <w:bCs/>
          <w:sz w:val="24"/>
        </w:rPr>
        <w:t>2、鸡肉：眼球饱满，皮肤有光泽，淡黄或灰白色，肌肉切而发亮。外表微干或微湿，不粘手，弹性良好指压后凹陷立即恢复，有正常气味。无长毛及毛、毛根，口腔及宰刀口血污、杂质、无紫斑瘀血，净腔，禽腹内无过多脂肪，腹下刀口，不过长，刀口整齐，重量在0.85千克的鲜鸡最好当天杀当天送。</w:t>
      </w:r>
    </w:p>
    <w:p>
      <w:pPr>
        <w:spacing w:line="360" w:lineRule="auto"/>
        <w:ind w:firstLine="480" w:firstLineChars="200"/>
        <w:rPr>
          <w:rFonts w:ascii="宋体" w:hAnsi="宋体"/>
          <w:bCs/>
          <w:sz w:val="24"/>
        </w:rPr>
      </w:pPr>
      <w:r>
        <w:rPr>
          <w:rFonts w:hint="eastAsia" w:ascii="宋体" w:hAnsi="宋体"/>
          <w:bCs/>
          <w:sz w:val="24"/>
        </w:rPr>
        <w:t>3、鸡上腿肉：3两重、中间切1刀或2刀；鸡腿肉：切丁2*2cm；表皮光滑，无淤血，交货以干净、新鲜、无异味，大小适合规格要求为标准；鸡翅根：原箱 10kg/箱，10-12个/斤；肉质紧密，无污伤、无小毛，个体大小均匀；鸡胸肉：切丁2*2cm。要求解冻后的鸡肉鸭肉片的出成率达到七成以上。</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鸭肉、鹅肉：眼球平坦，皮肤有光泽，乳白或淡红色，肌肉切而有光泽。外表湿润，不粘手，指压后凹陷立即恢复，鸭、鹅固有的正常气味。无长毛及绒毛、毛根，口腔及宰刀口血污、杂质、无紫斑瘀血，净腔，禽腹内无过多脂肪，腹下刀口，不过长，刀口整齐，北京鸭1.5千克～1.7 千克左右。</w:t>
      </w:r>
    </w:p>
    <w:p>
      <w:pPr>
        <w:spacing w:line="360" w:lineRule="auto"/>
        <w:ind w:firstLine="480" w:firstLineChars="200"/>
        <w:rPr>
          <w:rFonts w:ascii="宋体" w:hAnsi="宋体"/>
          <w:bCs/>
          <w:sz w:val="24"/>
        </w:rPr>
      </w:pPr>
      <w:r>
        <w:rPr>
          <w:rFonts w:hint="eastAsia" w:ascii="宋体" w:hAnsi="宋体"/>
          <w:bCs/>
          <w:sz w:val="24"/>
        </w:rPr>
        <w:t>5、鸭腿肉：4两重、切3-4刀成块；表皮光滑，无淤血，交货以干净、新鲜、无异味，大小适合规格要求为标准。</w:t>
      </w:r>
    </w:p>
    <w:p>
      <w:pPr>
        <w:spacing w:line="360" w:lineRule="auto"/>
        <w:ind w:firstLine="480" w:firstLineChars="200"/>
        <w:rPr>
          <w:rFonts w:ascii="宋体" w:hAnsi="宋体"/>
          <w:bCs/>
          <w:sz w:val="24"/>
        </w:rPr>
      </w:pPr>
      <w:r>
        <w:rPr>
          <w:rFonts w:hint="eastAsia" w:ascii="宋体" w:hAnsi="宋体" w:cs="仿宋"/>
          <w:bCs/>
          <w:sz w:val="24"/>
        </w:rPr>
        <w:t>6、冻禽质量需求标准：</w:t>
      </w:r>
    </w:p>
    <w:p>
      <w:pPr>
        <w:spacing w:line="360" w:lineRule="auto"/>
        <w:ind w:firstLine="480" w:firstLineChars="200"/>
        <w:rPr>
          <w:rFonts w:ascii="宋体" w:hAnsi="宋体"/>
          <w:bCs/>
          <w:sz w:val="24"/>
        </w:rPr>
      </w:pPr>
      <w:r>
        <w:rPr>
          <w:rFonts w:hint="eastAsia" w:ascii="宋体" w:hAnsi="宋体"/>
          <w:bCs/>
          <w:sz w:val="24"/>
        </w:rPr>
        <w:t>外观滋润，呈乳白或微黄色。基本无血脉风干现象，无白，黄绿，紫斑，无冰衣，解冻后与鲜禽特征相同，外包装上有生产日期，外包装无破损，无不封口现象。有光泽、无残羽，无腐臭气味，分割部件应符合标准，无残缺，外包装完好，商标规格、产品说明清晰完整。</w:t>
      </w:r>
    </w:p>
    <w:p>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、禽内脏及各部位肉品质量需求标准</w:t>
      </w:r>
    </w:p>
    <w:p>
      <w:pPr>
        <w:spacing w:line="360" w:lineRule="auto"/>
        <w:ind w:firstLine="480" w:firstLineChars="200"/>
        <w:rPr>
          <w:rFonts w:ascii="宋体" w:hAnsi="宋体"/>
          <w:bCs/>
          <w:sz w:val="24"/>
        </w:rPr>
      </w:pPr>
      <w:r>
        <w:rPr>
          <w:rFonts w:hint="eastAsia" w:ascii="宋体" w:hAnsi="宋体"/>
          <w:bCs/>
          <w:sz w:val="24"/>
        </w:rPr>
        <w:t>（1）鸡脚质量需求标准</w:t>
      </w:r>
    </w:p>
    <w:p>
      <w:pPr>
        <w:spacing w:line="360" w:lineRule="auto"/>
        <w:ind w:firstLine="480" w:firstLineChars="200"/>
        <w:rPr>
          <w:rFonts w:ascii="宋体" w:hAnsi="宋体"/>
          <w:bCs/>
          <w:sz w:val="24"/>
        </w:rPr>
      </w:pPr>
      <w:r>
        <w:rPr>
          <w:rFonts w:hint="eastAsia" w:ascii="宋体" w:hAnsi="宋体"/>
          <w:bCs/>
          <w:sz w:val="24"/>
        </w:rPr>
        <w:t>白色或灰白色无黄衣趾壳，外形完整，无断骨，脚垫上无黑斑或黄斑，无血污、血水。</w:t>
      </w:r>
    </w:p>
    <w:p>
      <w:pPr>
        <w:spacing w:line="360" w:lineRule="auto"/>
        <w:ind w:firstLine="480" w:firstLineChars="200"/>
        <w:rPr>
          <w:rFonts w:ascii="宋体" w:hAnsi="宋体"/>
          <w:bCs/>
          <w:sz w:val="24"/>
        </w:rPr>
      </w:pPr>
      <w:r>
        <w:rPr>
          <w:rFonts w:hint="eastAsia" w:ascii="宋体" w:hAnsi="宋体"/>
          <w:bCs/>
          <w:sz w:val="24"/>
        </w:rPr>
        <w:t>（2）鸡翅质量需求标准</w:t>
      </w:r>
    </w:p>
    <w:p>
      <w:pPr>
        <w:spacing w:line="360" w:lineRule="auto"/>
        <w:ind w:firstLine="480" w:firstLineChars="200"/>
        <w:rPr>
          <w:rFonts w:ascii="宋体" w:hAnsi="宋体"/>
          <w:bCs/>
          <w:sz w:val="24"/>
        </w:rPr>
      </w:pPr>
      <w:r>
        <w:rPr>
          <w:rFonts w:hint="eastAsia" w:ascii="宋体" w:hAnsi="宋体"/>
          <w:bCs/>
          <w:sz w:val="24"/>
        </w:rPr>
        <w:t>无残羽，无黄衣，无伤斑和溃烂，无血水，允许有少量红斑点，允许修剪但最大范围不超弯关节处，全翅200g左右，翅中 100g左右，按部位分割。</w:t>
      </w:r>
    </w:p>
    <w:p>
      <w:pPr>
        <w:spacing w:line="360" w:lineRule="auto"/>
        <w:ind w:firstLine="480" w:firstLineChars="200"/>
        <w:rPr>
          <w:rFonts w:ascii="宋体" w:hAnsi="宋体"/>
          <w:bCs/>
          <w:sz w:val="24"/>
        </w:rPr>
      </w:pPr>
      <w:r>
        <w:rPr>
          <w:rFonts w:hint="eastAsia" w:ascii="宋体" w:hAnsi="宋体"/>
          <w:bCs/>
          <w:sz w:val="24"/>
        </w:rPr>
        <w:t>（3）鸡腿质量需求标准</w:t>
      </w:r>
    </w:p>
    <w:p>
      <w:pPr>
        <w:spacing w:line="360" w:lineRule="auto"/>
        <w:ind w:firstLine="480" w:firstLineChars="200"/>
        <w:rPr>
          <w:rFonts w:ascii="宋体" w:hAnsi="宋体"/>
          <w:bCs/>
          <w:sz w:val="24"/>
        </w:rPr>
      </w:pPr>
      <w:r>
        <w:rPr>
          <w:rFonts w:hint="eastAsia" w:ascii="宋体" w:hAnsi="宋体"/>
          <w:bCs/>
          <w:sz w:val="24"/>
        </w:rPr>
        <w:t>无残羽，无血水、血污、残骨，无伤斑、溃烂、炎症，允许有少量红斑，无多余皮和脂肪。按部位分割，全腿300g左右，下腿150g左右，周边修整齐，形如琵琶。</w:t>
      </w:r>
    </w:p>
    <w:p>
      <w:pPr>
        <w:spacing w:line="360" w:lineRule="auto"/>
        <w:ind w:firstLine="480" w:firstLineChars="200"/>
        <w:rPr>
          <w:rFonts w:ascii="宋体" w:hAnsi="宋体"/>
          <w:bCs/>
          <w:sz w:val="24"/>
        </w:rPr>
      </w:pPr>
      <w:r>
        <w:rPr>
          <w:rFonts w:hint="eastAsia" w:ascii="宋体" w:hAnsi="宋体"/>
          <w:bCs/>
          <w:sz w:val="24"/>
        </w:rPr>
        <w:t>（4）鸡胸肉质量需求标准</w:t>
      </w:r>
    </w:p>
    <w:p>
      <w:pPr>
        <w:spacing w:line="360" w:lineRule="auto"/>
        <w:ind w:firstLine="480" w:firstLineChars="200"/>
        <w:rPr>
          <w:rFonts w:ascii="宋体" w:hAnsi="宋体"/>
          <w:bCs/>
          <w:sz w:val="24"/>
        </w:rPr>
      </w:pPr>
      <w:r>
        <w:rPr>
          <w:rFonts w:hint="eastAsia" w:ascii="宋体" w:hAnsi="宋体"/>
          <w:bCs/>
          <w:sz w:val="24"/>
        </w:rPr>
        <w:t>无残羽，无血水、血污，无残骨、伤斑、溃烂、炎症，允许有少量红斑，无多余脂肪呈白色带有淡色玫瑰色或红色，大胸重量大于 120g，无小胸夹杂。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（三）水产品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A、水产干货类食品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干货包括鱿鱼、墨鱼、鱼翅、干贝、海米、虾皮、贝尖、虾籽、鲍鱼等感官鉴别：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1、干鱿鱼——无盐、干、肉桂色、身长 18cm-20cm/只</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2、干贝——干、肉桂色、直径2cm左右长</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3、海米——淡、干、色粉红、有光泽、2cm左右长</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4、金钩——淡、干、色红、有光泽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5、虾皮——淡、干、有光泽、无断足、断头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6、贝尖——淡、干、肉桂色</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B、海鲜（河鲜）类</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1、鱼</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神态——在水中游动自如，反应敏捷；</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体态——无伤残、无畸形、无病害；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体表——鳞片完整无损，无皮下出血现象及红色鱼鳞。</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补充：</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行动迟缓、反肚、慌乱、狂游的鱼表明已接近死亡或已有病害。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有红色鱼鳞之鱼须挑出拒收。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甲鱼验收方法：使甲鱼背朝天，能自行翻转、背壳黑青、白肚、裙边肥厚、四肢有力；如果甲鱼肚皮发红、有伤痕、有针孔不收；甲鱼腿侧面打水鼓起拒收。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2、虾</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感官鉴别：个大而均匀，活蹦乱跳（或能活动）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3、蟹</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大闸蟹——青皮、白肚、黄毛、金螯及蟹脚刚劲有力，膘壮肉厚，膏多，堆在地上，能迅速四面爬开。</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海蟹——体肥、甲壳色泽正常，腹部洁白，雌蟹有膏时，头胸甲棘尖，反面透黄色，螯及蟹脚有力。</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检验膏蟹及肉蟹时，除检其以上之感官外还需留意其草绳是否过粗，要求草绳所占比例小于20%总重。</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不同规格的大闸蟹其规格相差很大，留意其规格很重要。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足爪舞动慢，不能有力弯曲，带有腐败臭味的拒收。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4、贝</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双壳贝类——外壳具固有色泽，平时微张口、受惊闭合，斧足与触管伸缩灵活，具固有气味。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单壳贝类——贝肉收缩自如，用手指抚平后能回缩。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C、冻品质量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1、基本要求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（1）整箱包装完整、无破箱、生产地址明显。</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（2）验货时，要拆箱检查，如含水量太多称重时适当按比例除冰块的重量。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（3）如冻品解冻、软化、出水带血水，则不能收货。</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（4）冻品一般无生产日期，验收品质的好坏要用眼去辨认，如出现肉制品风干、变色之冻品不能收货。</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（5）称重时要扣除纸箱、冰块的重量，以货品净重为准。如果外包装箱上标有净重，按净重入库，如果没有净重标识，按5%扣除含冰量。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2、冻虾仁质量需求标准：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（1）品名、厂址、净含量、生产日期、保质期齐全。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（2）冻虾仁冰衣表面完整、清洁。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（3）肉质呈淡黄色或乳白色，无异味，组织紧密有弹性，有适当光泽。虾体基本完整，允首尾部稍有残缺，清洁无杂质。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3、冻鱼质量需求标准：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包括利用冷冻方法进行保鲜的海水鱼和淡水鱼。</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（1）鱼外表：鱼鳞完整、色泽清亮、肌体无残缺。</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（2）鱼眼：凸起，清亮且黑白分明，洁净无污物。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（3）鱼肛门：完整无裂，外口紧缩，无黄红浑浊颜色。</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4、速冻食品和冷冻半成品质量需求标准：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（1）包装正确，清洁，无破损。</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（2）品名、厂址、净含量、生产日期、保质期齐全。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（3）在保质期内，且不超过保质期三分之一时间。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（4）包装内无冰晶，无杂质，粉末。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（5）内容物形状完整，美观，冻结坚实。</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（6）无解冻，软化现象，无开裂，成块现象。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（7）颜色正常，无霉斑等不良现象。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5、冰鲜鱼质量需求标准：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皮肤——类金属、光泽哑色的表面显示其已不新鲜；</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眼睛——饱满明亮、清晰且完整、瞳孔黑、角膜清澈；</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鳃——鲜红色或血红色、含粘液且没有粘泥；</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肛门——内收或平整，不突出，不破肛；</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体外粘液——透明或水白；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肉质——坚实且富有弹性，轻按下鱼肉后，手指的凹陷处可马上恢复；</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气味——温和的海水味或鲜海藻味，无氯味腐臭味；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体表——鱼鳞完整、体表无破损。</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6、冰鲜虾质量需求标准：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有固有的颜色，不发白或红；头胸甲与躯干连接紧密，无断头现象；虾身清洁无污物。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7、盐渍海产质量需求标准：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质地——坚实而具韧性，手指甲掐之可破、脆嫩；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气味——轻腥气、盐味；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色泽——有光泽；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清洁度——无污物和泥浆。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包装---干净完整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D、部分产品具体要求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1、龙利鱼块：将整块鱼切1刀或2刀；</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2</w:t>
      </w:r>
      <w:r>
        <w:rPr>
          <w:rFonts w:hint="eastAsia" w:ascii="宋体" w:hAnsi="宋体" w:eastAsia="宋体"/>
          <w:b w:val="0"/>
          <w:sz w:val="24"/>
          <w:szCs w:val="24"/>
        </w:rPr>
        <w:t>、南美虾：（每公斤40头一50头）；</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3</w:t>
      </w:r>
      <w:r>
        <w:rPr>
          <w:rFonts w:hint="eastAsia" w:ascii="宋体" w:hAnsi="宋体" w:eastAsia="宋体"/>
          <w:b w:val="0"/>
          <w:sz w:val="24"/>
          <w:szCs w:val="24"/>
        </w:rPr>
        <w:t>、龙利鱼柳：将整块鱼切1刀或2刀；</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4</w:t>
      </w:r>
      <w:r>
        <w:rPr>
          <w:rFonts w:hint="eastAsia" w:ascii="宋体" w:hAnsi="宋体" w:eastAsia="宋体"/>
          <w:b w:val="0"/>
          <w:sz w:val="24"/>
          <w:szCs w:val="24"/>
        </w:rPr>
        <w:t>、海虾仁：（每斤41一50头）；</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5</w:t>
      </w:r>
      <w:r>
        <w:rPr>
          <w:rFonts w:hint="eastAsia" w:ascii="宋体" w:hAnsi="宋体" w:eastAsia="宋体"/>
          <w:b w:val="0"/>
          <w:sz w:val="24"/>
          <w:szCs w:val="24"/>
        </w:rPr>
        <w:t>、带鱼：400-700g，鱼眼睛清亮，角膜透明，眼球略微隆起，鳍展平张开，鳞片上覆有冻结的透明黏液层，皮肤天然色泽明显。</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6</w:t>
      </w:r>
      <w:r>
        <w:rPr>
          <w:rFonts w:hint="eastAsia" w:ascii="宋体" w:hAnsi="宋体" w:eastAsia="宋体"/>
          <w:b w:val="0"/>
          <w:sz w:val="24"/>
          <w:szCs w:val="24"/>
        </w:rPr>
        <w:t>、泥猛鱼：每条不低于 200 克，无头、无内脏，鳞片上覆有冻结的透明黏液层，皮肤天然色泽明显。</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、罗非鱼排：无头、无鳃、五鳞、无内脏，具有鱼的自然颜色。</w:t>
      </w:r>
    </w:p>
    <w:p>
      <w:pPr>
        <w:spacing w:line="360" w:lineRule="auto"/>
        <w:ind w:firstLine="480" w:firstLineChars="200"/>
        <w:rPr>
          <w:rFonts w:ascii="宋体" w:hAnsi="宋体"/>
          <w:bCs/>
          <w:sz w:val="24"/>
        </w:rPr>
      </w:pPr>
      <w:r>
        <w:rPr>
          <w:rFonts w:hint="eastAsia" w:ascii="宋体" w:hAnsi="宋体"/>
          <w:bCs/>
          <w:sz w:val="24"/>
        </w:rPr>
        <w:t>（四）干货调味品</w:t>
      </w:r>
    </w:p>
    <w:p>
      <w:pPr>
        <w:spacing w:line="360" w:lineRule="auto"/>
        <w:ind w:firstLine="480" w:firstLineChars="200"/>
        <w:rPr>
          <w:rFonts w:ascii="宋体" w:hAnsi="宋体"/>
          <w:bCs/>
          <w:sz w:val="24"/>
        </w:rPr>
      </w:pPr>
      <w:r>
        <w:rPr>
          <w:rFonts w:hint="eastAsia" w:ascii="宋体" w:hAnsi="宋体"/>
          <w:bCs/>
          <w:sz w:val="24"/>
        </w:rPr>
        <w:t>1、食盐质量验收标准</w:t>
      </w:r>
    </w:p>
    <w:p>
      <w:pPr>
        <w:spacing w:line="360" w:lineRule="auto"/>
        <w:ind w:firstLine="480" w:firstLineChars="200"/>
        <w:rPr>
          <w:rFonts w:ascii="宋体" w:hAnsi="宋体"/>
          <w:bCs/>
          <w:sz w:val="24"/>
        </w:rPr>
      </w:pPr>
      <w:r>
        <w:rPr>
          <w:rFonts w:hint="eastAsia" w:ascii="宋体" w:hAnsi="宋体"/>
          <w:bCs/>
          <w:sz w:val="24"/>
        </w:rPr>
        <w:t>味咸、呈白色细晶体，无可见杂质，无苦味、涩味及其他异味，外包装无漏无污，印刷清晰，有防伪标识。</w:t>
      </w:r>
    </w:p>
    <w:p>
      <w:pPr>
        <w:spacing w:line="360" w:lineRule="auto"/>
        <w:ind w:firstLine="480" w:firstLineChars="200"/>
        <w:rPr>
          <w:rFonts w:ascii="宋体" w:hAnsi="宋体"/>
          <w:bCs/>
          <w:sz w:val="24"/>
        </w:rPr>
      </w:pPr>
      <w:r>
        <w:rPr>
          <w:rFonts w:hint="eastAsia" w:ascii="宋体" w:hAnsi="宋体"/>
          <w:bCs/>
          <w:sz w:val="24"/>
        </w:rPr>
        <w:t>2、酱油质量验收标准</w:t>
      </w:r>
    </w:p>
    <w:p>
      <w:pPr>
        <w:spacing w:line="360" w:lineRule="auto"/>
        <w:ind w:firstLine="480" w:firstLineChars="200"/>
        <w:rPr>
          <w:rFonts w:ascii="宋体" w:hAnsi="宋体"/>
          <w:bCs/>
          <w:sz w:val="24"/>
        </w:rPr>
      </w:pPr>
      <w:r>
        <w:rPr>
          <w:rFonts w:hint="eastAsia" w:ascii="宋体" w:hAnsi="宋体"/>
          <w:bCs/>
          <w:sz w:val="24"/>
        </w:rPr>
        <w:t>有正常的色泽，红褐色气味和滋味，无不良气味，不得有酸苦、涩等异味和霉味，不浑浊，不沉淀，无霉花浮膜，外包装无漏无污，印刷清晰，无胀袋现象。</w:t>
      </w:r>
    </w:p>
    <w:p>
      <w:pPr>
        <w:spacing w:line="360" w:lineRule="auto"/>
        <w:ind w:firstLine="480" w:firstLineChars="200"/>
        <w:rPr>
          <w:rFonts w:ascii="宋体" w:hAnsi="宋体"/>
          <w:bCs/>
          <w:sz w:val="24"/>
        </w:rPr>
      </w:pPr>
      <w:r>
        <w:rPr>
          <w:rFonts w:hint="eastAsia" w:ascii="宋体" w:hAnsi="宋体"/>
          <w:bCs/>
          <w:sz w:val="24"/>
        </w:rPr>
        <w:t>3、单晶冰糖质量验收标准</w:t>
      </w:r>
    </w:p>
    <w:p>
      <w:pPr>
        <w:spacing w:line="360" w:lineRule="auto"/>
        <w:ind w:firstLine="480" w:firstLineChars="200"/>
        <w:rPr>
          <w:rFonts w:ascii="宋体" w:hAnsi="宋体"/>
          <w:bCs/>
          <w:sz w:val="24"/>
        </w:rPr>
      </w:pPr>
      <w:r>
        <w:rPr>
          <w:rFonts w:hint="eastAsia" w:ascii="宋体" w:hAnsi="宋体"/>
          <w:bCs/>
          <w:sz w:val="24"/>
        </w:rPr>
        <w:t>晶面干燥基本光滑，晶体大小基本均匀，呈单斜晶体，异形晶、并晶、聚晶及碎晶不超过 15%，色白呈半透明或半透明体，无异味，无明显黑点及其他杂质。</w:t>
      </w:r>
    </w:p>
    <w:p>
      <w:pPr>
        <w:spacing w:line="360" w:lineRule="auto"/>
        <w:ind w:firstLine="480" w:firstLineChars="200"/>
        <w:rPr>
          <w:rFonts w:ascii="宋体" w:hAnsi="宋体"/>
          <w:bCs/>
          <w:sz w:val="24"/>
        </w:rPr>
      </w:pPr>
      <w:r>
        <w:rPr>
          <w:rFonts w:hint="eastAsia" w:ascii="宋体" w:hAnsi="宋体"/>
          <w:bCs/>
          <w:sz w:val="24"/>
        </w:rPr>
        <w:t>4、食醋质量验收标准</w:t>
      </w:r>
    </w:p>
    <w:p>
      <w:pPr>
        <w:spacing w:line="360" w:lineRule="auto"/>
        <w:ind w:firstLine="480" w:firstLineChars="200"/>
        <w:rPr>
          <w:rFonts w:ascii="宋体" w:hAnsi="宋体"/>
          <w:bCs/>
          <w:sz w:val="24"/>
        </w:rPr>
      </w:pPr>
      <w:r>
        <w:rPr>
          <w:rFonts w:hint="eastAsia" w:ascii="宋体" w:hAnsi="宋体"/>
          <w:bCs/>
          <w:sz w:val="24"/>
        </w:rPr>
        <w:t>有正常色泽，琥珀色气味的滋味，不涩，无其他不良气味和异味，不浑浊，无悬浮物及沉淀物，透明澄清无霉花浮膜，无“醋馒”“醋虱”，外包装无漏、无污，印刷清晰，无胀袋现象。</w:t>
      </w:r>
    </w:p>
    <w:p>
      <w:pPr>
        <w:spacing w:line="360" w:lineRule="auto"/>
        <w:ind w:firstLine="480" w:firstLineChars="200"/>
        <w:rPr>
          <w:rFonts w:ascii="宋体" w:hAnsi="宋体"/>
          <w:bCs/>
          <w:sz w:val="24"/>
        </w:rPr>
      </w:pPr>
      <w:r>
        <w:rPr>
          <w:rFonts w:hint="eastAsia" w:ascii="宋体" w:hAnsi="宋体"/>
          <w:bCs/>
          <w:sz w:val="24"/>
        </w:rPr>
        <w:t>5、鱼露和豉油的质量验收标准</w:t>
      </w:r>
    </w:p>
    <w:p>
      <w:pPr>
        <w:spacing w:line="360" w:lineRule="auto"/>
        <w:ind w:firstLine="480" w:firstLineChars="200"/>
        <w:rPr>
          <w:rFonts w:ascii="宋体" w:hAnsi="宋体"/>
          <w:bCs/>
          <w:sz w:val="24"/>
        </w:rPr>
      </w:pPr>
      <w:r>
        <w:rPr>
          <w:rFonts w:hint="eastAsia" w:ascii="宋体" w:hAnsi="宋体"/>
          <w:bCs/>
          <w:sz w:val="24"/>
        </w:rPr>
        <w:t>棕红色或棕黄色，各自的鲜香，无苦涩，澄清透明，不浑浊为佳。</w:t>
      </w:r>
    </w:p>
    <w:p>
      <w:pPr>
        <w:spacing w:line="360" w:lineRule="auto"/>
        <w:ind w:firstLine="480" w:firstLineChars="200"/>
        <w:rPr>
          <w:rFonts w:ascii="宋体" w:hAnsi="宋体"/>
          <w:bCs/>
          <w:sz w:val="24"/>
        </w:rPr>
      </w:pPr>
      <w:r>
        <w:rPr>
          <w:rFonts w:hint="eastAsia" w:ascii="宋体" w:hAnsi="宋体"/>
          <w:bCs/>
          <w:sz w:val="24"/>
        </w:rPr>
        <w:t>6、蚝油的质量验收标准</w:t>
      </w:r>
    </w:p>
    <w:p>
      <w:pPr>
        <w:spacing w:line="360" w:lineRule="auto"/>
        <w:ind w:firstLine="480" w:firstLineChars="200"/>
        <w:rPr>
          <w:rFonts w:ascii="宋体" w:hAnsi="宋体"/>
          <w:bCs/>
          <w:sz w:val="24"/>
        </w:rPr>
      </w:pPr>
      <w:r>
        <w:rPr>
          <w:rFonts w:hint="eastAsia" w:ascii="宋体" w:hAnsi="宋体"/>
          <w:bCs/>
          <w:sz w:val="24"/>
        </w:rPr>
        <w:t>红褐或棕褐色，有一定光泽，稀糊状，液体，无焦苦涩等异味和霉味，无腐败发酵异味，无渣粒。</w:t>
      </w:r>
    </w:p>
    <w:p>
      <w:pPr>
        <w:spacing w:line="360" w:lineRule="auto"/>
        <w:ind w:firstLine="480" w:firstLineChars="200"/>
        <w:rPr>
          <w:rFonts w:ascii="宋体" w:hAnsi="宋体"/>
          <w:bCs/>
          <w:sz w:val="24"/>
        </w:rPr>
      </w:pPr>
      <w:r>
        <w:rPr>
          <w:rFonts w:hint="eastAsia" w:ascii="宋体" w:hAnsi="宋体"/>
          <w:bCs/>
          <w:sz w:val="24"/>
        </w:rPr>
        <w:t>7、酵母</w:t>
      </w:r>
    </w:p>
    <w:p>
      <w:pPr>
        <w:spacing w:line="360" w:lineRule="auto"/>
        <w:ind w:firstLine="480" w:firstLineChars="200"/>
        <w:rPr>
          <w:rFonts w:ascii="宋体" w:hAnsi="宋体"/>
          <w:bCs/>
          <w:sz w:val="24"/>
        </w:rPr>
      </w:pPr>
      <w:r>
        <w:rPr>
          <w:rFonts w:hint="eastAsia" w:ascii="宋体" w:hAnsi="宋体"/>
          <w:bCs/>
          <w:sz w:val="24"/>
        </w:rPr>
        <w:t>在保质期内没超过三分之一的保质期，商品的品牌、规格和等级均正确，商品的外包装良好，无破损，无受潮，无变质。</w:t>
      </w:r>
    </w:p>
    <w:p>
      <w:pPr>
        <w:spacing w:line="360" w:lineRule="auto"/>
        <w:ind w:firstLine="480" w:firstLineChars="200"/>
        <w:rPr>
          <w:rFonts w:ascii="宋体" w:hAnsi="宋体"/>
          <w:bCs/>
          <w:sz w:val="24"/>
        </w:rPr>
      </w:pPr>
      <w:r>
        <w:rPr>
          <w:rFonts w:hint="eastAsia" w:ascii="宋体" w:hAnsi="宋体"/>
          <w:bCs/>
          <w:sz w:val="24"/>
        </w:rPr>
        <w:t>8、味精质量验收标准</w:t>
      </w:r>
    </w:p>
    <w:p>
      <w:pPr>
        <w:spacing w:line="360" w:lineRule="auto"/>
        <w:ind w:firstLine="480" w:firstLineChars="200"/>
        <w:rPr>
          <w:rFonts w:ascii="宋体" w:hAnsi="宋体"/>
          <w:bCs/>
          <w:sz w:val="24"/>
        </w:rPr>
      </w:pPr>
      <w:r>
        <w:rPr>
          <w:rFonts w:hint="eastAsia" w:ascii="宋体" w:hAnsi="宋体"/>
          <w:bCs/>
          <w:sz w:val="24"/>
        </w:rPr>
        <w:t>无色或白色柱状结晶，无杂质、污物，允许有少量碎晶及少量粉末状物质。</w:t>
      </w:r>
    </w:p>
    <w:p>
      <w:pPr>
        <w:spacing w:line="360" w:lineRule="auto"/>
        <w:ind w:firstLine="480" w:firstLineChars="200"/>
        <w:rPr>
          <w:rFonts w:ascii="宋体" w:hAnsi="宋体"/>
          <w:bCs/>
          <w:sz w:val="24"/>
        </w:rPr>
      </w:pPr>
      <w:r>
        <w:rPr>
          <w:rFonts w:hint="eastAsia" w:ascii="宋体" w:hAnsi="宋体"/>
          <w:bCs/>
          <w:sz w:val="24"/>
        </w:rPr>
        <w:t>9、复合酱料质量验收标准</w:t>
      </w:r>
    </w:p>
    <w:p>
      <w:pPr>
        <w:spacing w:line="360" w:lineRule="auto"/>
        <w:ind w:firstLine="480" w:firstLineChars="200"/>
        <w:rPr>
          <w:rFonts w:ascii="宋体" w:hAnsi="宋体"/>
          <w:bCs/>
          <w:sz w:val="24"/>
        </w:rPr>
      </w:pPr>
      <w:r>
        <w:rPr>
          <w:rFonts w:hint="eastAsia" w:ascii="宋体" w:hAnsi="宋体"/>
          <w:bCs/>
          <w:sz w:val="24"/>
        </w:rPr>
        <w:t>外包装无污物、无泄漏，无胀袋或胖听或鼓盖现象，无变质发霉现象，在保质期内，且不超过保质期三分之一时间。</w:t>
      </w:r>
    </w:p>
    <w:p>
      <w:pPr>
        <w:spacing w:line="360" w:lineRule="auto"/>
        <w:ind w:firstLine="480" w:firstLineChars="200"/>
        <w:rPr>
          <w:rFonts w:ascii="宋体" w:hAnsi="宋体"/>
          <w:bCs/>
          <w:sz w:val="24"/>
        </w:rPr>
      </w:pPr>
      <w:r>
        <w:rPr>
          <w:rFonts w:hint="eastAsia" w:ascii="宋体" w:hAnsi="宋体"/>
          <w:bCs/>
          <w:sz w:val="24"/>
        </w:rPr>
        <w:t>10、香料质量验收标准</w:t>
      </w:r>
    </w:p>
    <w:p>
      <w:pPr>
        <w:spacing w:line="360" w:lineRule="auto"/>
        <w:ind w:firstLine="480" w:firstLineChars="200"/>
        <w:rPr>
          <w:rFonts w:ascii="宋体" w:hAnsi="宋体"/>
          <w:bCs/>
          <w:sz w:val="24"/>
        </w:rPr>
      </w:pPr>
      <w:r>
        <w:rPr>
          <w:rFonts w:hint="eastAsia" w:ascii="宋体" w:hAnsi="宋体"/>
          <w:bCs/>
          <w:sz w:val="24"/>
        </w:rPr>
        <w:t>（1）八角质量验收标准</w:t>
      </w:r>
    </w:p>
    <w:p>
      <w:pPr>
        <w:spacing w:line="360" w:lineRule="auto"/>
        <w:ind w:firstLine="480" w:firstLineChars="200"/>
        <w:rPr>
          <w:rFonts w:ascii="宋体" w:hAnsi="宋体"/>
          <w:bCs/>
          <w:sz w:val="24"/>
        </w:rPr>
      </w:pPr>
      <w:r>
        <w:rPr>
          <w:rFonts w:hint="eastAsia" w:ascii="宋体" w:hAnsi="宋体"/>
          <w:bCs/>
          <w:sz w:val="24"/>
        </w:rPr>
        <w:t>色泽棕红鲜艳有光，朵大均匀呈八角形。干燥饱满干裂，香气浓郁，破碎和脱壳籽粒不超 10%，无受潮，无发霉，无杂物。</w:t>
      </w:r>
    </w:p>
    <w:p>
      <w:pPr>
        <w:spacing w:line="360" w:lineRule="auto"/>
        <w:ind w:firstLine="480" w:firstLineChars="200"/>
        <w:rPr>
          <w:rFonts w:ascii="宋体" w:hAnsi="宋体"/>
          <w:bCs/>
          <w:sz w:val="24"/>
        </w:rPr>
      </w:pPr>
      <w:r>
        <w:rPr>
          <w:rFonts w:hint="eastAsia" w:ascii="宋体" w:hAnsi="宋体"/>
          <w:bCs/>
          <w:sz w:val="24"/>
        </w:rPr>
        <w:t>（2）花椒质量验收标准</w:t>
      </w:r>
    </w:p>
    <w:p>
      <w:pPr>
        <w:spacing w:line="360" w:lineRule="auto"/>
        <w:ind w:firstLine="480" w:firstLineChars="200"/>
        <w:rPr>
          <w:rFonts w:ascii="宋体" w:hAnsi="宋体"/>
          <w:bCs/>
          <w:sz w:val="24"/>
        </w:rPr>
      </w:pPr>
      <w:r>
        <w:rPr>
          <w:rFonts w:hint="eastAsia" w:ascii="宋体" w:hAnsi="宋体"/>
          <w:bCs/>
          <w:sz w:val="24"/>
        </w:rPr>
        <w:t>色棕红，麻味足，香味大，身干，无长枝，无霉坏，无杂物，含籽不超5%，无受潮，无发霉，无杂物。</w:t>
      </w:r>
    </w:p>
    <w:p>
      <w:pPr>
        <w:spacing w:line="360" w:lineRule="auto"/>
        <w:ind w:firstLine="480" w:firstLineChars="200"/>
        <w:rPr>
          <w:rFonts w:ascii="宋体" w:hAnsi="宋体"/>
          <w:bCs/>
          <w:sz w:val="24"/>
        </w:rPr>
      </w:pPr>
      <w:r>
        <w:rPr>
          <w:rFonts w:hint="eastAsia" w:ascii="宋体" w:hAnsi="宋体"/>
          <w:bCs/>
          <w:sz w:val="24"/>
        </w:rPr>
        <w:t>（3）桂皮质量验收标准</w:t>
      </w:r>
    </w:p>
    <w:p>
      <w:pPr>
        <w:spacing w:line="360" w:lineRule="auto"/>
        <w:ind w:firstLine="480" w:firstLineChars="200"/>
        <w:rPr>
          <w:rFonts w:ascii="宋体" w:hAnsi="宋体"/>
          <w:bCs/>
          <w:sz w:val="24"/>
        </w:rPr>
      </w:pPr>
      <w:r>
        <w:rPr>
          <w:rFonts w:hint="eastAsia" w:ascii="宋体" w:hAnsi="宋体"/>
          <w:bCs/>
          <w:sz w:val="24"/>
        </w:rPr>
        <w:t>皮面青灰透淡棕色，腹面棕色，表面有细纹，背面有光泽，质坚实，身干，味清香，略带甜，无受潮，无发霉，无杂物。</w:t>
      </w:r>
    </w:p>
    <w:p>
      <w:pPr>
        <w:spacing w:line="360" w:lineRule="auto"/>
        <w:ind w:firstLine="480" w:firstLineChars="200"/>
        <w:rPr>
          <w:rFonts w:ascii="宋体" w:hAnsi="宋体"/>
          <w:bCs/>
          <w:sz w:val="24"/>
        </w:rPr>
      </w:pPr>
      <w:r>
        <w:rPr>
          <w:rFonts w:hint="eastAsia" w:ascii="宋体" w:hAnsi="宋体"/>
          <w:bCs/>
          <w:sz w:val="24"/>
        </w:rPr>
        <w:t>（4）丁香质量验收标准</w:t>
      </w:r>
    </w:p>
    <w:p>
      <w:pPr>
        <w:spacing w:line="360" w:lineRule="auto"/>
        <w:ind w:firstLine="480" w:firstLineChars="200"/>
        <w:rPr>
          <w:rFonts w:ascii="宋体" w:hAnsi="宋体"/>
          <w:bCs/>
          <w:sz w:val="24"/>
        </w:rPr>
      </w:pPr>
      <w:r>
        <w:rPr>
          <w:rFonts w:hint="eastAsia" w:ascii="宋体" w:hAnsi="宋体"/>
          <w:bCs/>
          <w:sz w:val="24"/>
        </w:rPr>
        <w:t>红棕色或棕褐色，上部有四枚三角状萼片，十字状分开，质坚实，富油性，气芳香，浓裂，味辛辣，无受潮，无发霉，无杂物。</w:t>
      </w:r>
    </w:p>
    <w:p>
      <w:pPr>
        <w:spacing w:line="360" w:lineRule="auto"/>
        <w:ind w:firstLine="480" w:firstLineChars="200"/>
        <w:rPr>
          <w:rFonts w:ascii="宋体" w:hAnsi="宋体"/>
          <w:bCs/>
          <w:sz w:val="24"/>
        </w:rPr>
      </w:pPr>
      <w:r>
        <w:rPr>
          <w:rFonts w:hint="eastAsia" w:ascii="宋体" w:hAnsi="宋体"/>
          <w:bCs/>
          <w:sz w:val="24"/>
        </w:rPr>
        <w:t>（5）山柰质量验收标准</w:t>
      </w:r>
    </w:p>
    <w:p>
      <w:pPr>
        <w:spacing w:line="360" w:lineRule="auto"/>
        <w:ind w:firstLine="480" w:firstLineChars="200"/>
        <w:rPr>
          <w:rFonts w:ascii="宋体" w:hAnsi="宋体"/>
          <w:bCs/>
          <w:sz w:val="24"/>
        </w:rPr>
      </w:pPr>
      <w:r>
        <w:rPr>
          <w:rFonts w:hint="eastAsia" w:ascii="宋体" w:hAnsi="宋体"/>
          <w:bCs/>
          <w:sz w:val="24"/>
        </w:rPr>
        <w:t>圆形或近圆形的横切片，外皮浅褐色或褐色皱缩，有的有根痕或残有须根，切面白色粉性，质脆气味特异，味辛辣，无受潮，无发霉，无杂物。</w:t>
      </w:r>
    </w:p>
    <w:p>
      <w:pPr>
        <w:spacing w:line="360" w:lineRule="auto"/>
        <w:ind w:firstLine="480" w:firstLineChars="200"/>
        <w:rPr>
          <w:rFonts w:ascii="宋体" w:hAnsi="宋体"/>
          <w:bCs/>
          <w:sz w:val="24"/>
        </w:rPr>
      </w:pPr>
      <w:r>
        <w:rPr>
          <w:rFonts w:hint="eastAsia" w:ascii="宋体" w:hAnsi="宋体"/>
          <w:bCs/>
          <w:sz w:val="24"/>
        </w:rPr>
        <w:t>（6）陈皮质量验收标准</w:t>
      </w:r>
    </w:p>
    <w:p>
      <w:pPr>
        <w:spacing w:line="360" w:lineRule="auto"/>
        <w:ind w:firstLine="480" w:firstLineChars="200"/>
        <w:rPr>
          <w:rFonts w:ascii="宋体" w:hAnsi="宋体"/>
          <w:bCs/>
          <w:sz w:val="24"/>
        </w:rPr>
      </w:pPr>
      <w:r>
        <w:rPr>
          <w:rFonts w:hint="eastAsia" w:ascii="宋体" w:hAnsi="宋体"/>
          <w:bCs/>
          <w:sz w:val="24"/>
        </w:rPr>
        <w:t>表面橙红或红黄，有无数凹入和油点对光照视清晰，内面黄白色，质稍硬面脆易折断，气香，味辛苦，无受潮，无发霉，无杂物。</w:t>
      </w:r>
    </w:p>
    <w:p>
      <w:pPr>
        <w:spacing w:line="360" w:lineRule="auto"/>
        <w:ind w:firstLine="480" w:firstLineChars="200"/>
        <w:rPr>
          <w:rFonts w:ascii="宋体" w:hAnsi="宋体"/>
          <w:bCs/>
          <w:sz w:val="24"/>
        </w:rPr>
      </w:pPr>
      <w:r>
        <w:rPr>
          <w:rFonts w:hint="eastAsia" w:ascii="宋体" w:hAnsi="宋体"/>
          <w:bCs/>
          <w:sz w:val="24"/>
        </w:rPr>
        <w:t>（7）豆蔻质量验收标准</w:t>
      </w:r>
    </w:p>
    <w:p>
      <w:pPr>
        <w:spacing w:line="360" w:lineRule="auto"/>
        <w:ind w:firstLine="480" w:firstLineChars="200"/>
        <w:rPr>
          <w:rFonts w:ascii="宋体" w:hAnsi="宋体"/>
          <w:bCs/>
          <w:sz w:val="24"/>
        </w:rPr>
      </w:pPr>
      <w:r>
        <w:rPr>
          <w:rFonts w:hint="eastAsia" w:ascii="宋体" w:hAnsi="宋体"/>
          <w:bCs/>
          <w:sz w:val="24"/>
        </w:rPr>
        <w:t>卵圆或椭圆形，表面灰棕色或灰黄色，全体有浅色纵行沟纹及不规则网状沟纹，质坚，断面显示棕黄色相杂的大理石花纹，富油性，气味芳香，无受潮，无发霉，无杂物。</w:t>
      </w:r>
    </w:p>
    <w:p>
      <w:pPr>
        <w:spacing w:line="360" w:lineRule="auto"/>
        <w:ind w:firstLine="480" w:firstLineChars="200"/>
        <w:rPr>
          <w:rFonts w:ascii="宋体" w:hAnsi="宋体"/>
          <w:bCs/>
          <w:sz w:val="24"/>
        </w:rPr>
      </w:pPr>
      <w:r>
        <w:rPr>
          <w:rFonts w:hint="eastAsia" w:ascii="宋体" w:hAnsi="宋体"/>
          <w:bCs/>
          <w:sz w:val="24"/>
        </w:rPr>
        <w:t>（8）草果的质量验收标准</w:t>
      </w:r>
    </w:p>
    <w:p>
      <w:pPr>
        <w:spacing w:line="360" w:lineRule="auto"/>
        <w:ind w:firstLine="480" w:firstLineChars="200"/>
        <w:rPr>
          <w:rFonts w:ascii="宋体" w:hAnsi="宋体"/>
          <w:bCs/>
          <w:sz w:val="24"/>
        </w:rPr>
      </w:pPr>
      <w:r>
        <w:rPr>
          <w:rFonts w:hint="eastAsia" w:ascii="宋体" w:hAnsi="宋体"/>
          <w:bCs/>
          <w:sz w:val="24"/>
        </w:rPr>
        <w:t>椭圆形，个大饱满色红润，香气浓郁，干燥无异味，无受潮，无发霉，无杂物。</w:t>
      </w:r>
    </w:p>
    <w:p>
      <w:pPr>
        <w:spacing w:line="360" w:lineRule="auto"/>
        <w:ind w:firstLine="480" w:firstLineChars="200"/>
        <w:rPr>
          <w:rFonts w:ascii="宋体" w:hAnsi="宋体"/>
          <w:bCs/>
          <w:sz w:val="24"/>
        </w:rPr>
      </w:pPr>
      <w:r>
        <w:rPr>
          <w:rFonts w:hint="eastAsia" w:ascii="宋体" w:hAnsi="宋体"/>
          <w:bCs/>
          <w:sz w:val="24"/>
        </w:rPr>
        <w:t>（9）小茴香的质量验收标准</w:t>
      </w:r>
    </w:p>
    <w:p>
      <w:pPr>
        <w:spacing w:line="360" w:lineRule="auto"/>
        <w:ind w:firstLine="480" w:firstLineChars="200"/>
        <w:rPr>
          <w:rFonts w:ascii="宋体" w:hAnsi="宋体"/>
          <w:bCs/>
          <w:sz w:val="24"/>
        </w:rPr>
      </w:pPr>
      <w:r>
        <w:rPr>
          <w:rFonts w:hint="eastAsia" w:ascii="宋体" w:hAnsi="宋体"/>
          <w:bCs/>
          <w:sz w:val="24"/>
        </w:rPr>
        <w:t>身干粒饱满均匀，气味香郁，色灰绿无杂质，无受潮，无发霉，无杂物。</w:t>
      </w:r>
    </w:p>
    <w:p>
      <w:pPr>
        <w:spacing w:line="360" w:lineRule="auto"/>
        <w:ind w:firstLine="480" w:firstLineChars="200"/>
        <w:rPr>
          <w:rFonts w:ascii="宋体" w:hAnsi="宋体"/>
          <w:bCs/>
          <w:sz w:val="24"/>
        </w:rPr>
      </w:pPr>
      <w:r>
        <w:rPr>
          <w:rFonts w:hint="eastAsia" w:ascii="宋体" w:hAnsi="宋体"/>
          <w:bCs/>
          <w:sz w:val="24"/>
        </w:rPr>
        <w:t>11、粉状香辛料质量验收标准</w:t>
      </w:r>
    </w:p>
    <w:p>
      <w:pPr>
        <w:spacing w:line="360" w:lineRule="auto"/>
        <w:ind w:firstLine="480" w:firstLineChars="200"/>
        <w:rPr>
          <w:rFonts w:ascii="宋体" w:hAnsi="宋体"/>
          <w:bCs/>
          <w:sz w:val="24"/>
        </w:rPr>
      </w:pPr>
      <w:r>
        <w:rPr>
          <w:rFonts w:hint="eastAsia" w:ascii="宋体" w:hAnsi="宋体"/>
          <w:bCs/>
          <w:sz w:val="24"/>
        </w:rPr>
        <w:t>（1）颗粒均匀，无杂质，干燥无结块，具有固有的颜色和气味滋味。</w:t>
      </w:r>
    </w:p>
    <w:p>
      <w:pPr>
        <w:spacing w:line="360" w:lineRule="auto"/>
        <w:ind w:firstLine="480" w:firstLineChars="200"/>
        <w:rPr>
          <w:rFonts w:ascii="宋体" w:hAnsi="宋体"/>
          <w:bCs/>
          <w:sz w:val="24"/>
        </w:rPr>
      </w:pPr>
      <w:r>
        <w:rPr>
          <w:rFonts w:hint="eastAsia" w:ascii="宋体" w:hAnsi="宋体"/>
          <w:bCs/>
          <w:sz w:val="24"/>
        </w:rPr>
        <w:t>（2）包装完整，干净无泄漏。</w:t>
      </w:r>
    </w:p>
    <w:p>
      <w:pPr>
        <w:spacing w:line="360" w:lineRule="auto"/>
        <w:ind w:firstLine="480" w:firstLineChars="200"/>
        <w:rPr>
          <w:rFonts w:ascii="宋体" w:hAnsi="宋体"/>
          <w:bCs/>
          <w:sz w:val="24"/>
        </w:rPr>
      </w:pPr>
      <w:r>
        <w:rPr>
          <w:rFonts w:hint="eastAsia" w:ascii="宋体" w:hAnsi="宋体"/>
          <w:bCs/>
          <w:sz w:val="24"/>
        </w:rPr>
        <w:t>（3）在保质期内且不超过三分之一的。</w:t>
      </w:r>
    </w:p>
    <w:p>
      <w:pPr>
        <w:spacing w:line="360" w:lineRule="auto"/>
        <w:ind w:firstLine="480" w:firstLineChars="200"/>
        <w:rPr>
          <w:rFonts w:ascii="宋体" w:hAnsi="宋体"/>
          <w:bCs/>
          <w:sz w:val="24"/>
        </w:rPr>
      </w:pPr>
      <w:r>
        <w:rPr>
          <w:rFonts w:hint="eastAsia" w:ascii="宋体" w:hAnsi="宋体"/>
          <w:bCs/>
          <w:sz w:val="24"/>
        </w:rPr>
        <w:t>12、副食干货质量验收标准</w:t>
      </w:r>
    </w:p>
    <w:p>
      <w:pPr>
        <w:spacing w:line="360" w:lineRule="auto"/>
        <w:ind w:firstLine="480" w:firstLineChars="200"/>
        <w:rPr>
          <w:rFonts w:ascii="宋体" w:hAnsi="宋体"/>
          <w:bCs/>
          <w:sz w:val="24"/>
        </w:rPr>
      </w:pPr>
      <w:r>
        <w:rPr>
          <w:rFonts w:hint="eastAsia" w:ascii="宋体" w:hAnsi="宋体"/>
          <w:bCs/>
          <w:sz w:val="24"/>
        </w:rPr>
        <w:t>（1）黑木耳</w:t>
      </w:r>
    </w:p>
    <w:p>
      <w:pPr>
        <w:spacing w:line="360" w:lineRule="auto"/>
        <w:ind w:firstLine="480" w:firstLineChars="200"/>
        <w:rPr>
          <w:rFonts w:ascii="宋体" w:hAnsi="宋体"/>
          <w:bCs/>
          <w:sz w:val="24"/>
        </w:rPr>
      </w:pPr>
      <w:r>
        <w:rPr>
          <w:rFonts w:hint="eastAsia" w:ascii="宋体" w:hAnsi="宋体"/>
          <w:bCs/>
          <w:sz w:val="24"/>
        </w:rPr>
        <w:t>朵片基本完整，耳面黑褐色，背暗灰色，有光泽。握之声脆，扎手，具有弹性，耳片不碎为含水适中。无虫蛀，无霉烂无异味。</w:t>
      </w:r>
    </w:p>
    <w:p>
      <w:pPr>
        <w:spacing w:line="360" w:lineRule="auto"/>
        <w:ind w:firstLine="480" w:firstLineChars="200"/>
        <w:rPr>
          <w:rFonts w:ascii="宋体" w:hAnsi="宋体"/>
          <w:bCs/>
          <w:sz w:val="24"/>
        </w:rPr>
      </w:pPr>
      <w:r>
        <w:rPr>
          <w:rFonts w:hint="eastAsia" w:ascii="宋体" w:hAnsi="宋体"/>
          <w:bCs/>
          <w:sz w:val="24"/>
        </w:rPr>
        <w:t>（2）笋干</w:t>
      </w:r>
    </w:p>
    <w:p>
      <w:pPr>
        <w:spacing w:line="360" w:lineRule="auto"/>
        <w:ind w:firstLine="480" w:firstLineChars="200"/>
        <w:rPr>
          <w:rFonts w:ascii="宋体" w:hAnsi="宋体"/>
          <w:bCs/>
          <w:sz w:val="24"/>
        </w:rPr>
      </w:pPr>
      <w:r>
        <w:rPr>
          <w:rFonts w:hint="eastAsia" w:ascii="宋体" w:hAnsi="宋体"/>
          <w:bCs/>
          <w:sz w:val="24"/>
        </w:rPr>
        <w:t>形为扁平三角形，笋身短，宽，薄，色泽金黄，不能太老，无受潮，无霉变。</w:t>
      </w:r>
    </w:p>
    <w:p>
      <w:pPr>
        <w:spacing w:line="360" w:lineRule="auto"/>
        <w:ind w:firstLine="480" w:firstLineChars="200"/>
        <w:rPr>
          <w:rFonts w:ascii="宋体" w:hAnsi="宋体"/>
          <w:bCs/>
          <w:sz w:val="24"/>
        </w:rPr>
      </w:pPr>
      <w:r>
        <w:rPr>
          <w:rFonts w:hint="eastAsia" w:ascii="宋体" w:hAnsi="宋体"/>
          <w:bCs/>
          <w:sz w:val="24"/>
        </w:rPr>
        <w:t>（3）干香菇</w:t>
      </w:r>
    </w:p>
    <w:p>
      <w:pPr>
        <w:spacing w:line="360" w:lineRule="auto"/>
        <w:ind w:firstLine="480" w:firstLineChars="200"/>
        <w:rPr>
          <w:rFonts w:ascii="宋体" w:hAnsi="宋体"/>
          <w:bCs/>
          <w:sz w:val="24"/>
        </w:rPr>
      </w:pPr>
      <w:r>
        <w:rPr>
          <w:rFonts w:hint="eastAsia" w:ascii="宋体" w:hAnsi="宋体"/>
          <w:bCs/>
          <w:sz w:val="24"/>
        </w:rPr>
        <w:t>个体平整均匀，包边未展开，包形卷边圆润，菇肥把短，不发霉，无虫蛀，无受潮。</w:t>
      </w:r>
    </w:p>
    <w:p>
      <w:pPr>
        <w:spacing w:line="360" w:lineRule="auto"/>
        <w:ind w:firstLine="480" w:firstLineChars="200"/>
        <w:rPr>
          <w:rFonts w:ascii="宋体" w:hAnsi="宋体"/>
          <w:bCs/>
          <w:sz w:val="24"/>
        </w:rPr>
      </w:pPr>
      <w:r>
        <w:rPr>
          <w:rFonts w:hint="eastAsia" w:ascii="宋体" w:hAnsi="宋体"/>
          <w:bCs/>
          <w:sz w:val="24"/>
        </w:rPr>
        <w:t>（4）银耳</w:t>
      </w:r>
    </w:p>
    <w:p>
      <w:pPr>
        <w:spacing w:line="360" w:lineRule="auto"/>
        <w:ind w:firstLine="480" w:firstLineChars="200"/>
        <w:rPr>
          <w:rFonts w:ascii="宋体" w:hAnsi="宋体"/>
          <w:bCs/>
          <w:sz w:val="24"/>
        </w:rPr>
      </w:pPr>
      <w:r>
        <w:rPr>
          <w:rFonts w:hint="eastAsia" w:ascii="宋体" w:hAnsi="宋体"/>
          <w:bCs/>
          <w:sz w:val="24"/>
        </w:rPr>
        <w:t>颜色雪白，呈半透明状，有光泽，根部微黄，朵形呈菊花形，大而瓣厚，手感干燥，无发霉，无杂质，无受潮。</w:t>
      </w:r>
    </w:p>
    <w:p>
      <w:pPr>
        <w:spacing w:line="360" w:lineRule="auto"/>
        <w:ind w:firstLine="480" w:firstLineChars="200"/>
        <w:rPr>
          <w:rFonts w:ascii="宋体" w:hAnsi="宋体"/>
          <w:bCs/>
          <w:sz w:val="24"/>
        </w:rPr>
      </w:pPr>
      <w:r>
        <w:rPr>
          <w:rFonts w:hint="eastAsia" w:ascii="宋体" w:hAnsi="宋体"/>
          <w:bCs/>
          <w:sz w:val="24"/>
        </w:rPr>
        <w:t>（5）莲子</w:t>
      </w:r>
    </w:p>
    <w:p>
      <w:pPr>
        <w:spacing w:line="360" w:lineRule="auto"/>
        <w:ind w:firstLine="480" w:firstLineChars="200"/>
        <w:rPr>
          <w:rFonts w:ascii="宋体" w:hAnsi="宋体"/>
          <w:bCs/>
          <w:sz w:val="24"/>
        </w:rPr>
      </w:pPr>
      <w:r>
        <w:rPr>
          <w:rFonts w:hint="eastAsia" w:ascii="宋体" w:hAnsi="宋体"/>
          <w:bCs/>
          <w:sz w:val="24"/>
        </w:rPr>
        <w:t>颗粒饱满，大小均匀，色泽洁白可微黄，闻无明显刺鼻酸味，无发霉虫蛀，无受潮。</w:t>
      </w:r>
    </w:p>
    <w:p>
      <w:pPr>
        <w:spacing w:line="360" w:lineRule="auto"/>
        <w:ind w:firstLine="480" w:firstLineChars="200"/>
        <w:rPr>
          <w:rFonts w:ascii="宋体" w:hAnsi="宋体"/>
          <w:bCs/>
          <w:sz w:val="24"/>
        </w:rPr>
      </w:pPr>
      <w:r>
        <w:rPr>
          <w:rFonts w:hint="eastAsia" w:ascii="宋体" w:hAnsi="宋体"/>
          <w:bCs/>
          <w:sz w:val="24"/>
        </w:rPr>
        <w:t>（6）腐竹</w:t>
      </w:r>
    </w:p>
    <w:p>
      <w:pPr>
        <w:spacing w:line="360" w:lineRule="auto"/>
        <w:ind w:firstLine="480" w:firstLineChars="200"/>
        <w:rPr>
          <w:rFonts w:ascii="宋体" w:hAnsi="宋体"/>
          <w:bCs/>
          <w:sz w:val="24"/>
        </w:rPr>
      </w:pPr>
      <w:r>
        <w:rPr>
          <w:rFonts w:hint="eastAsia" w:ascii="宋体" w:hAnsi="宋体"/>
          <w:bCs/>
          <w:sz w:val="24"/>
        </w:rPr>
        <w:t>手感干脆易断，肉质纤维细嫩，颜色淡黄油润，有光泽，条干细长有光泽。无发霉，无异味，无受潮。</w:t>
      </w:r>
    </w:p>
    <w:p>
      <w:pPr>
        <w:spacing w:line="360" w:lineRule="auto"/>
        <w:ind w:firstLine="480" w:firstLineChars="200"/>
        <w:rPr>
          <w:rFonts w:ascii="宋体" w:hAnsi="宋体"/>
          <w:bCs/>
          <w:sz w:val="24"/>
        </w:rPr>
      </w:pPr>
      <w:r>
        <w:rPr>
          <w:rFonts w:hint="eastAsia" w:ascii="宋体" w:hAnsi="宋体"/>
          <w:bCs/>
          <w:sz w:val="24"/>
        </w:rPr>
        <w:t>（7）米粉的质量验收标准</w:t>
      </w:r>
    </w:p>
    <w:p>
      <w:pPr>
        <w:spacing w:line="360" w:lineRule="auto"/>
        <w:ind w:firstLine="480" w:firstLineChars="200"/>
        <w:rPr>
          <w:rFonts w:ascii="宋体" w:hAnsi="宋体"/>
          <w:bCs/>
          <w:sz w:val="24"/>
        </w:rPr>
      </w:pPr>
      <w:r>
        <w:rPr>
          <w:rFonts w:hint="eastAsia" w:ascii="宋体" w:hAnsi="宋体"/>
          <w:bCs/>
          <w:sz w:val="24"/>
        </w:rPr>
        <w:t>色明亮，有透明感，无斑点，无异味，煮熟后不严重断条、不糊汤。</w:t>
      </w:r>
    </w:p>
    <w:p>
      <w:pPr>
        <w:spacing w:line="360" w:lineRule="auto"/>
        <w:ind w:firstLine="480" w:firstLineChars="200"/>
        <w:rPr>
          <w:rFonts w:ascii="宋体" w:hAnsi="宋体"/>
          <w:bCs/>
          <w:sz w:val="24"/>
        </w:rPr>
      </w:pPr>
      <w:r>
        <w:rPr>
          <w:rFonts w:hint="eastAsia" w:ascii="宋体" w:hAnsi="宋体"/>
          <w:bCs/>
          <w:sz w:val="24"/>
        </w:rPr>
        <w:t>（8）去核枣</w:t>
      </w:r>
    </w:p>
    <w:p>
      <w:pPr>
        <w:spacing w:line="360" w:lineRule="auto"/>
        <w:ind w:firstLine="480" w:firstLineChars="200"/>
        <w:rPr>
          <w:rFonts w:ascii="宋体" w:hAnsi="宋体"/>
          <w:bCs/>
          <w:sz w:val="24"/>
        </w:rPr>
      </w:pPr>
      <w:r>
        <w:rPr>
          <w:rFonts w:hint="eastAsia" w:ascii="宋体" w:hAnsi="宋体"/>
          <w:bCs/>
          <w:sz w:val="24"/>
        </w:rPr>
        <w:t>果形饱满， 枣香纯正，颜色深红，个头均匀，无枣核残留，无异味，无发霉，无受潮。</w:t>
      </w:r>
    </w:p>
    <w:p>
      <w:pPr>
        <w:spacing w:line="360" w:lineRule="auto"/>
        <w:ind w:firstLine="480" w:firstLineChars="200"/>
        <w:rPr>
          <w:rFonts w:ascii="宋体" w:hAnsi="宋体"/>
          <w:bCs/>
          <w:sz w:val="24"/>
        </w:rPr>
      </w:pPr>
      <w:r>
        <w:rPr>
          <w:rFonts w:hint="eastAsia" w:ascii="宋体" w:hAnsi="宋体"/>
          <w:bCs/>
          <w:sz w:val="24"/>
        </w:rPr>
        <w:t>（9）粉丝粉条类</w:t>
      </w:r>
    </w:p>
    <w:p>
      <w:pPr>
        <w:spacing w:line="360" w:lineRule="auto"/>
        <w:ind w:firstLine="480" w:firstLineChars="200"/>
        <w:rPr>
          <w:rFonts w:ascii="宋体" w:hAnsi="宋体"/>
          <w:bCs/>
          <w:sz w:val="24"/>
        </w:rPr>
      </w:pPr>
      <w:r>
        <w:rPr>
          <w:rFonts w:hint="eastAsia" w:ascii="宋体" w:hAnsi="宋体"/>
          <w:bCs/>
          <w:sz w:val="24"/>
        </w:rPr>
        <w:t>有黄色，半透明的，条身粗细均匀，干爽有韧性，无砂无异物，无异味，无霉斑，无受潮。</w:t>
      </w:r>
    </w:p>
    <w:p>
      <w:pPr>
        <w:spacing w:line="360" w:lineRule="auto"/>
        <w:ind w:firstLine="480" w:firstLineChars="200"/>
        <w:rPr>
          <w:rFonts w:ascii="宋体" w:hAnsi="宋体"/>
          <w:bCs/>
          <w:sz w:val="24"/>
        </w:rPr>
      </w:pPr>
      <w:r>
        <w:rPr>
          <w:rFonts w:hint="eastAsia" w:ascii="宋体" w:hAnsi="宋体"/>
          <w:bCs/>
          <w:sz w:val="24"/>
        </w:rPr>
        <w:t>（10）枸杞</w:t>
      </w:r>
    </w:p>
    <w:p>
      <w:pPr>
        <w:spacing w:line="360" w:lineRule="auto"/>
        <w:ind w:firstLine="480" w:firstLineChars="200"/>
        <w:rPr>
          <w:rFonts w:ascii="宋体" w:hAnsi="宋体"/>
          <w:bCs/>
          <w:sz w:val="24"/>
        </w:rPr>
      </w:pPr>
      <w:r>
        <w:rPr>
          <w:rFonts w:hint="eastAsia" w:ascii="宋体" w:hAnsi="宋体"/>
          <w:bCs/>
          <w:sz w:val="24"/>
        </w:rPr>
        <w:t>形状类纺锥形，略扁稍皱缩，色泽鲜红，紫红或枣红，具有枸杞应有的气味。无杂质，无霉变，无受潮。</w:t>
      </w:r>
    </w:p>
    <w:p>
      <w:pPr>
        <w:spacing w:line="360" w:lineRule="auto"/>
        <w:ind w:firstLine="480" w:firstLineChars="200"/>
        <w:rPr>
          <w:rFonts w:ascii="宋体" w:hAnsi="宋体"/>
          <w:bCs/>
          <w:sz w:val="24"/>
        </w:rPr>
      </w:pPr>
      <w:r>
        <w:rPr>
          <w:rFonts w:hint="eastAsia" w:ascii="宋体" w:hAnsi="宋体"/>
          <w:bCs/>
          <w:sz w:val="24"/>
        </w:rPr>
        <w:t>13、香肠制品的质量验收标准</w:t>
      </w:r>
    </w:p>
    <w:p>
      <w:pPr>
        <w:spacing w:line="360" w:lineRule="auto"/>
        <w:ind w:firstLine="480" w:firstLineChars="200"/>
        <w:rPr>
          <w:rFonts w:ascii="宋体" w:hAnsi="宋体"/>
          <w:bCs/>
          <w:sz w:val="24"/>
        </w:rPr>
      </w:pPr>
      <w:r>
        <w:rPr>
          <w:rFonts w:hint="eastAsia" w:ascii="宋体" w:hAnsi="宋体"/>
          <w:bCs/>
          <w:sz w:val="24"/>
        </w:rPr>
        <w:t>肠衣完整与内容物结合紧密，坚实有弹力，无黏液、霉斑，切面坚实湿润、有光泽，肉为蔷薇色，无酸败臭味，有本身固有的香味和滋味。</w:t>
      </w:r>
    </w:p>
    <w:p>
      <w:pPr>
        <w:spacing w:line="360" w:lineRule="auto"/>
        <w:ind w:firstLine="480" w:firstLineChars="200"/>
        <w:rPr>
          <w:rFonts w:ascii="宋体" w:hAnsi="宋体"/>
          <w:bCs/>
          <w:sz w:val="24"/>
        </w:rPr>
      </w:pPr>
      <w:r>
        <w:rPr>
          <w:rFonts w:hint="eastAsia" w:ascii="宋体" w:hAnsi="宋体"/>
          <w:bCs/>
          <w:sz w:val="24"/>
        </w:rPr>
        <w:t>14、腊制品的质量验收标准</w:t>
      </w:r>
    </w:p>
    <w:p>
      <w:pPr>
        <w:spacing w:line="360" w:lineRule="auto"/>
        <w:ind w:firstLine="480" w:firstLineChars="200"/>
        <w:rPr>
          <w:rFonts w:ascii="宋体" w:hAnsi="宋体"/>
          <w:bCs/>
          <w:sz w:val="24"/>
        </w:rPr>
      </w:pPr>
      <w:r>
        <w:rPr>
          <w:rFonts w:hint="eastAsia" w:ascii="宋体" w:hAnsi="宋体"/>
          <w:bCs/>
          <w:sz w:val="24"/>
        </w:rPr>
        <w:t>色泽鲜明，肌肉呈红色，脂肪透明呈乳白色</w:t>
      </w:r>
      <w:bookmarkStart w:id="809" w:name="_GoBack"/>
      <w:bookmarkEnd w:id="809"/>
      <w:r>
        <w:rPr>
          <w:rFonts w:hint="eastAsia" w:ascii="宋体" w:hAnsi="宋体"/>
          <w:bCs/>
          <w:sz w:val="24"/>
        </w:rPr>
        <w:t>，肉身干燥结实，有固有气味。真空度保持良好，无空隙汁液流动，无大量脂肪溢出。</w:t>
      </w:r>
    </w:p>
    <w:p>
      <w:pPr>
        <w:spacing w:line="360" w:lineRule="auto"/>
        <w:ind w:firstLine="480" w:firstLineChars="200"/>
        <w:rPr>
          <w:rFonts w:ascii="宋体" w:hAnsi="宋体"/>
          <w:bCs/>
          <w:sz w:val="24"/>
        </w:rPr>
      </w:pPr>
      <w:r>
        <w:rPr>
          <w:rFonts w:hint="eastAsia" w:ascii="宋体" w:hAnsi="宋体"/>
          <w:bCs/>
          <w:sz w:val="24"/>
        </w:rPr>
        <w:t>15、罐头商品的质量验收标准</w:t>
      </w:r>
    </w:p>
    <w:p>
      <w:pPr>
        <w:spacing w:line="360" w:lineRule="auto"/>
        <w:ind w:firstLine="480" w:firstLineChars="200"/>
        <w:rPr>
          <w:rFonts w:ascii="宋体" w:hAnsi="宋体"/>
          <w:bCs/>
          <w:sz w:val="24"/>
        </w:rPr>
      </w:pPr>
      <w:r>
        <w:rPr>
          <w:rFonts w:hint="eastAsia" w:ascii="宋体" w:hAnsi="宋体"/>
          <w:bCs/>
          <w:sz w:val="24"/>
        </w:rPr>
        <w:t>（1）铁听制品应表面光亮，无锈迹，无磨损，无变形，无胀罐现象，商标无霉变。</w:t>
      </w:r>
    </w:p>
    <w:p>
      <w:pPr>
        <w:spacing w:line="360" w:lineRule="auto"/>
        <w:ind w:firstLine="480" w:firstLineChars="200"/>
        <w:rPr>
          <w:rFonts w:ascii="宋体" w:hAnsi="宋体"/>
          <w:bCs/>
          <w:sz w:val="24"/>
        </w:rPr>
      </w:pPr>
      <w:r>
        <w:rPr>
          <w:rFonts w:hint="eastAsia" w:ascii="宋体" w:hAnsi="宋体"/>
          <w:bCs/>
          <w:sz w:val="24"/>
        </w:rPr>
        <w:t>（2）玻璃瓶制品，罐盖无锈迹，无胀罐现象，内容物色泽正常，符合产品本身所具有的质量标准。</w:t>
      </w:r>
    </w:p>
    <w:p>
      <w:pPr>
        <w:spacing w:line="360" w:lineRule="auto"/>
        <w:ind w:firstLine="480" w:firstLineChars="200"/>
        <w:rPr>
          <w:rFonts w:ascii="宋体" w:hAnsi="宋体"/>
          <w:bCs/>
          <w:sz w:val="24"/>
        </w:rPr>
      </w:pPr>
      <w:r>
        <w:rPr>
          <w:rFonts w:hint="eastAsia" w:ascii="宋体" w:hAnsi="宋体"/>
          <w:bCs/>
          <w:sz w:val="24"/>
        </w:rPr>
        <w:t>16、酱菜、干调类商品的质量验收标准：</w:t>
      </w:r>
    </w:p>
    <w:p>
      <w:pPr>
        <w:spacing w:line="360" w:lineRule="auto"/>
        <w:ind w:firstLine="480" w:firstLineChars="200"/>
        <w:rPr>
          <w:rFonts w:ascii="宋体" w:hAnsi="宋体"/>
          <w:bCs/>
          <w:sz w:val="24"/>
        </w:rPr>
      </w:pPr>
      <w:r>
        <w:rPr>
          <w:rFonts w:hint="eastAsia" w:ascii="宋体" w:hAnsi="宋体"/>
          <w:bCs/>
          <w:sz w:val="24"/>
        </w:rPr>
        <w:t>液体调味品和酱菜类商品表面应干净清洁，无液体外渗；干菜色泽鲜艳、干燥有韧性，无破碎片、虫蛀、霉坏和泥土杂质。</w:t>
      </w:r>
    </w:p>
    <w:p>
      <w:pPr>
        <w:widowControl/>
        <w:spacing w:line="360" w:lineRule="auto"/>
        <w:ind w:firstLine="480" w:firstLineChars="200"/>
        <w:rPr>
          <w:rFonts w:ascii="宋体" w:hAnsi="宋体" w:cs="Arial"/>
          <w:bCs/>
          <w:w w:val="80"/>
          <w:sz w:val="24"/>
        </w:rPr>
      </w:pPr>
      <w:r>
        <w:rPr>
          <w:rFonts w:ascii="宋体" w:hAnsi="宋体" w:cs="Arial"/>
          <w:sz w:val="24"/>
        </w:rPr>
        <w:br w:type="page"/>
      </w:r>
    </w:p>
    <w:p>
      <w:pPr>
        <w:pStyle w:val="3"/>
        <w:rPr>
          <w:rFonts w:ascii="Arial" w:hAnsi="Arial" w:cs="Arial"/>
          <w:color w:val="auto"/>
        </w:rPr>
      </w:pPr>
      <w:bookmarkStart w:id="329" w:name="_Toc92357016"/>
      <w:bookmarkStart w:id="330" w:name="_Toc92965933"/>
      <w:r>
        <w:rPr>
          <w:rFonts w:ascii="Arial" w:hAnsi="Arial" w:cs="Arial"/>
          <w:color w:val="auto"/>
        </w:rPr>
        <w:t>第五章</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Arial" w:hAnsi="Arial" w:cs="Arial"/>
          <w:color w:val="auto"/>
        </w:rPr>
        <w:t xml:space="preserve"> </w:t>
      </w:r>
      <w:r>
        <w:rPr>
          <w:rFonts w:hint="eastAsia"/>
          <w:color w:val="auto"/>
        </w:rPr>
        <w:t>合同条款及格式</w:t>
      </w:r>
      <w:bookmarkEnd w:id="329"/>
      <w:bookmarkEnd w:id="330"/>
    </w:p>
    <w:p>
      <w:pPr>
        <w:pStyle w:val="248"/>
        <w:numPr>
          <w:ilvl w:val="0"/>
          <w:numId w:val="0"/>
        </w:numPr>
        <w:jc w:val="center"/>
        <w:rPr>
          <w:rFonts w:ascii="黑体" w:eastAsia="黑体" w:cs="Arial"/>
          <w:bCs w:val="0"/>
          <w:color w:val="auto"/>
          <w:w w:val="80"/>
          <w:sz w:val="36"/>
          <w:szCs w:val="36"/>
        </w:rPr>
      </w:pPr>
      <w:bookmarkStart w:id="331" w:name="_Toc57032387"/>
      <w:bookmarkStart w:id="332" w:name="_Toc54721744"/>
      <w:bookmarkStart w:id="333" w:name="_Toc92357017"/>
      <w:bookmarkStart w:id="334" w:name="_Toc92965934"/>
      <w:r>
        <w:rPr>
          <w:rFonts w:hint="eastAsia" w:eastAsia="黑体" w:cs="Times New Roman"/>
          <w:b w:val="0"/>
          <w:color w:val="auto"/>
          <w:w w:val="80"/>
          <w:kern w:val="2"/>
          <w:sz w:val="36"/>
          <w:szCs w:val="36"/>
        </w:rPr>
        <w:t>（合同内容以后期实际签署为准）</w:t>
      </w:r>
      <w:bookmarkEnd w:id="331"/>
      <w:bookmarkEnd w:id="332"/>
      <w:bookmarkEnd w:id="333"/>
      <w:bookmarkEnd w:id="334"/>
    </w:p>
    <w:p>
      <w:pPr>
        <w:spacing w:before="246" w:line="348" w:lineRule="auto"/>
        <w:ind w:left="588" w:right="2578"/>
        <w:jc w:val="left"/>
        <w:rPr>
          <w:rFonts w:ascii="宋体" w:hAnsi="宋体"/>
          <w:kern w:val="0"/>
          <w:sz w:val="24"/>
        </w:rPr>
      </w:pPr>
      <w:r>
        <w:rPr>
          <w:rFonts w:ascii="宋体" w:hAnsi="宋体"/>
          <w:kern w:val="0"/>
          <w:sz w:val="24"/>
        </w:rPr>
        <w:t>甲方：地址：</w:t>
      </w:r>
      <w:r>
        <w:rPr>
          <w:rFonts w:hint="eastAsia" w:ascii="宋体" w:hAnsi="宋体"/>
          <w:kern w:val="0"/>
          <w:sz w:val="24"/>
        </w:rPr>
        <w:t xml:space="preserve"> </w:t>
      </w:r>
      <w:r>
        <w:rPr>
          <w:rFonts w:ascii="宋体" w:hAnsi="宋体"/>
          <w:kern w:val="0"/>
          <w:sz w:val="24"/>
        </w:rPr>
        <w:t>联系人：联系电话：</w:t>
      </w:r>
    </w:p>
    <w:p>
      <w:pPr>
        <w:jc w:val="left"/>
        <w:rPr>
          <w:rFonts w:ascii="宋体" w:hAnsi="宋体" w:cs="宋体"/>
          <w:kern w:val="0"/>
          <w:sz w:val="24"/>
        </w:rPr>
      </w:pPr>
    </w:p>
    <w:p>
      <w:pPr>
        <w:spacing w:before="1"/>
        <w:jc w:val="left"/>
        <w:rPr>
          <w:rFonts w:ascii="宋体" w:hAnsi="宋体" w:cs="宋体"/>
          <w:kern w:val="0"/>
          <w:sz w:val="18"/>
          <w:szCs w:val="18"/>
        </w:rPr>
      </w:pPr>
    </w:p>
    <w:p>
      <w:pPr>
        <w:spacing w:line="357" w:lineRule="auto"/>
        <w:ind w:left="588" w:right="3109"/>
        <w:jc w:val="left"/>
        <w:rPr>
          <w:rFonts w:ascii="宋体" w:hAnsi="宋体"/>
          <w:kern w:val="0"/>
          <w:sz w:val="24"/>
        </w:rPr>
      </w:pPr>
      <w:r>
        <w:rPr>
          <w:rFonts w:ascii="宋体" w:hAnsi="宋体"/>
          <w:kern w:val="0"/>
          <w:sz w:val="24"/>
        </w:rPr>
        <w:t>乙方： 地址： 联系人： 联系电话：</w:t>
      </w:r>
    </w:p>
    <w:p>
      <w:pPr>
        <w:spacing w:before="137" w:line="360" w:lineRule="auto"/>
        <w:ind w:firstLine="480" w:firstLineChars="200"/>
        <w:rPr>
          <w:rFonts w:ascii="宋体" w:hAnsi="宋体"/>
          <w:kern w:val="0"/>
          <w:sz w:val="24"/>
        </w:rPr>
      </w:pPr>
      <w:r>
        <w:rPr>
          <w:rFonts w:hint="eastAsia" w:ascii="宋体" w:hAnsi="宋体"/>
          <w:kern w:val="0"/>
          <w:sz w:val="24"/>
        </w:rPr>
        <w:t>根据《中华人民共和国民法典》及张湾培训中心2022年食材采购项目招标文件的要求，甲、乙双方经协商确定，甲方向乙方订购副食品， 为明确双方责任和权利，特签订本合同，共同遵守。具体条款如下：</w:t>
      </w:r>
    </w:p>
    <w:p>
      <w:pPr>
        <w:spacing w:before="137" w:line="360" w:lineRule="auto"/>
        <w:ind w:firstLine="480" w:firstLineChars="200"/>
        <w:rPr>
          <w:rFonts w:ascii="宋体" w:hAnsi="宋体"/>
          <w:kern w:val="0"/>
          <w:sz w:val="24"/>
        </w:rPr>
      </w:pPr>
      <w:r>
        <w:rPr>
          <w:rFonts w:hint="eastAsia" w:ascii="宋体" w:hAnsi="宋体"/>
          <w:kern w:val="0"/>
          <w:sz w:val="24"/>
        </w:rPr>
        <w:t>一、食品的品种、数量、价格、供应期限</w:t>
      </w:r>
    </w:p>
    <w:p>
      <w:pPr>
        <w:spacing w:before="137" w:line="360" w:lineRule="auto"/>
        <w:ind w:firstLine="480" w:firstLineChars="200"/>
        <w:rPr>
          <w:rFonts w:ascii="宋体" w:hAnsi="宋体"/>
          <w:kern w:val="0"/>
          <w:sz w:val="24"/>
        </w:rPr>
      </w:pPr>
      <w:r>
        <w:rPr>
          <w:rFonts w:hint="eastAsia" w:ascii="宋体" w:hAnsi="宋体"/>
          <w:kern w:val="0"/>
          <w:sz w:val="24"/>
        </w:rPr>
        <w:t>1、食品的品种、数量：以甲方每次需求计划为基准。</w:t>
      </w:r>
    </w:p>
    <w:p>
      <w:pPr>
        <w:spacing w:before="137" w:line="360" w:lineRule="auto"/>
        <w:ind w:firstLine="480" w:firstLineChars="200"/>
        <w:rPr>
          <w:rFonts w:ascii="宋体" w:hAnsi="宋体"/>
          <w:kern w:val="0"/>
          <w:sz w:val="24"/>
        </w:rPr>
      </w:pPr>
      <w:r>
        <w:rPr>
          <w:rFonts w:hint="eastAsia" w:ascii="宋体" w:hAnsi="宋体"/>
          <w:kern w:val="0"/>
          <w:sz w:val="24"/>
        </w:rPr>
        <w:t>2、供货价格：以乙方承诺价格为基准。</w:t>
      </w:r>
    </w:p>
    <w:p>
      <w:pPr>
        <w:spacing w:before="137" w:line="360" w:lineRule="auto"/>
        <w:ind w:firstLine="480" w:firstLineChars="200"/>
        <w:rPr>
          <w:rFonts w:ascii="宋体" w:hAnsi="宋体"/>
          <w:kern w:val="0"/>
          <w:sz w:val="24"/>
        </w:rPr>
      </w:pPr>
      <w:r>
        <w:rPr>
          <w:rFonts w:hint="eastAsia" w:ascii="宋体" w:hAnsi="宋体"/>
          <w:kern w:val="0"/>
          <w:sz w:val="24"/>
        </w:rPr>
        <w:t>3、供应期限：自 202</w:t>
      </w:r>
      <w:r>
        <w:rPr>
          <w:rFonts w:ascii="宋体" w:hAnsi="宋体"/>
          <w:kern w:val="0"/>
          <w:sz w:val="24"/>
        </w:rPr>
        <w:t>2</w:t>
      </w:r>
      <w:r>
        <w:rPr>
          <w:rFonts w:hint="eastAsia" w:ascii="宋体" w:hAnsi="宋体"/>
          <w:kern w:val="0"/>
          <w:sz w:val="24"/>
        </w:rPr>
        <w:t>年 X 月 X 日起 至 202</w:t>
      </w:r>
      <w:r>
        <w:rPr>
          <w:rFonts w:ascii="宋体" w:hAnsi="宋体"/>
          <w:kern w:val="0"/>
          <w:sz w:val="24"/>
        </w:rPr>
        <w:t>3</w:t>
      </w:r>
      <w:r>
        <w:rPr>
          <w:rFonts w:hint="eastAsia" w:ascii="宋体" w:hAnsi="宋体"/>
          <w:kern w:val="0"/>
          <w:sz w:val="24"/>
        </w:rPr>
        <w:t>年 X 月 X 日止</w:t>
      </w:r>
    </w:p>
    <w:p>
      <w:pPr>
        <w:spacing w:before="137" w:line="360" w:lineRule="auto"/>
        <w:ind w:firstLine="480" w:firstLineChars="200"/>
        <w:rPr>
          <w:rFonts w:ascii="宋体" w:hAnsi="宋体"/>
          <w:kern w:val="0"/>
          <w:sz w:val="24"/>
        </w:rPr>
      </w:pPr>
      <w:r>
        <w:rPr>
          <w:rFonts w:hint="eastAsia" w:ascii="宋体" w:hAnsi="宋体"/>
          <w:kern w:val="0"/>
          <w:sz w:val="24"/>
        </w:rPr>
        <w:t>4、乙方应严格按甲方需求计划（含品牌、品种、质量、规格、数量等）供应。乙方未经甲方同意，不得变更供应商品的品牌、品种、质量、规格等，否则，甲方有权拒收。</w:t>
      </w:r>
    </w:p>
    <w:p>
      <w:pPr>
        <w:spacing w:before="137" w:line="360" w:lineRule="auto"/>
        <w:ind w:firstLine="480" w:firstLineChars="200"/>
        <w:rPr>
          <w:rFonts w:ascii="宋体" w:hAnsi="宋体"/>
          <w:kern w:val="0"/>
          <w:sz w:val="24"/>
        </w:rPr>
      </w:pPr>
      <w:r>
        <w:rPr>
          <w:rFonts w:hint="eastAsia" w:ascii="宋体" w:hAnsi="宋体"/>
          <w:kern w:val="0"/>
          <w:sz w:val="24"/>
        </w:rPr>
        <w:t>二、供应要求</w:t>
      </w:r>
    </w:p>
    <w:p>
      <w:pPr>
        <w:spacing w:before="137" w:line="360" w:lineRule="auto"/>
        <w:ind w:firstLine="480" w:firstLineChars="200"/>
        <w:rPr>
          <w:rFonts w:ascii="宋体" w:hAnsi="宋体"/>
          <w:kern w:val="0"/>
          <w:sz w:val="24"/>
        </w:rPr>
      </w:pPr>
      <w:r>
        <w:rPr>
          <w:rFonts w:hint="eastAsia" w:ascii="宋体" w:hAnsi="宋体"/>
          <w:kern w:val="0"/>
          <w:sz w:val="24"/>
        </w:rPr>
        <w:t>1、供应的食品必须符合食品安全、卫生等国家标准要求，经检验合格。严格遵守《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pPr>
        <w:spacing w:before="137" w:line="360" w:lineRule="auto"/>
        <w:ind w:firstLine="480" w:firstLineChars="200"/>
        <w:rPr>
          <w:rFonts w:ascii="宋体" w:hAnsi="宋体"/>
          <w:kern w:val="0"/>
          <w:sz w:val="24"/>
        </w:rPr>
      </w:pPr>
      <w:r>
        <w:rPr>
          <w:rFonts w:hint="eastAsia" w:ascii="宋体" w:hAnsi="宋体"/>
          <w:kern w:val="0"/>
          <w:sz w:val="24"/>
        </w:rPr>
        <w:t>2、供应商品包装与标签要求：</w:t>
      </w:r>
    </w:p>
    <w:p>
      <w:pPr>
        <w:spacing w:before="137" w:line="360" w:lineRule="auto"/>
        <w:ind w:firstLine="480" w:firstLineChars="200"/>
        <w:rPr>
          <w:rFonts w:ascii="宋体" w:hAnsi="宋体"/>
          <w:kern w:val="0"/>
          <w:sz w:val="24"/>
        </w:rPr>
      </w:pPr>
      <w:r>
        <w:rPr>
          <w:rFonts w:hint="eastAsia" w:ascii="宋体" w:hAnsi="宋体"/>
          <w:kern w:val="0"/>
          <w:sz w:val="24"/>
        </w:rPr>
        <w:t>（1）普通商品包装：容器（框、箱、袋）要求清洁、干燥、牢固、透气，无污染、无异味、无霉变现象。</w:t>
      </w:r>
    </w:p>
    <w:p>
      <w:pPr>
        <w:spacing w:before="137" w:line="360" w:lineRule="auto"/>
        <w:ind w:firstLine="480" w:firstLineChars="200"/>
        <w:rPr>
          <w:rFonts w:ascii="宋体" w:hAnsi="宋体"/>
          <w:kern w:val="0"/>
          <w:sz w:val="24"/>
        </w:rPr>
      </w:pPr>
      <w:r>
        <w:rPr>
          <w:rFonts w:hint="eastAsia" w:ascii="宋体" w:hAnsi="宋体"/>
          <w:kern w:val="0"/>
          <w:sz w:val="24"/>
        </w:rPr>
        <w:t>（2）标签：每件包装必须按行业标准贴标签，并标明产地、品种、有效期、生产单位及地址等。</w:t>
      </w:r>
    </w:p>
    <w:p>
      <w:pPr>
        <w:spacing w:before="137" w:line="360" w:lineRule="auto"/>
        <w:ind w:firstLine="480" w:firstLineChars="200"/>
        <w:rPr>
          <w:rFonts w:ascii="宋体" w:hAnsi="宋体"/>
          <w:kern w:val="0"/>
          <w:sz w:val="24"/>
        </w:rPr>
      </w:pPr>
      <w:r>
        <w:rPr>
          <w:rFonts w:hint="eastAsia" w:ascii="宋体" w:hAnsi="宋体"/>
          <w:kern w:val="0"/>
          <w:sz w:val="24"/>
        </w:rPr>
        <w:t>（3）食品包装及标签：应符合国家规范，标签应标示食品名称、规格、制造商名称和地址、生产日期和保质期限、贮藏说明、质量等级、SC 认证等。乙方所提供的食品剩余保存期不得少于原有保质期的三分之二，进口冻品可用保质期不得少于1/2有效期天数，否则甲方有权拒收食品。</w:t>
      </w:r>
    </w:p>
    <w:p>
      <w:pPr>
        <w:spacing w:before="137" w:line="360" w:lineRule="auto"/>
        <w:ind w:firstLine="480" w:firstLineChars="200"/>
        <w:rPr>
          <w:rFonts w:ascii="宋体" w:hAnsi="宋体"/>
          <w:kern w:val="0"/>
          <w:sz w:val="24"/>
        </w:rPr>
      </w:pPr>
      <w:r>
        <w:rPr>
          <w:rFonts w:hint="eastAsia" w:ascii="宋体" w:hAnsi="宋体"/>
          <w:kern w:val="0"/>
          <w:sz w:val="24"/>
        </w:rPr>
        <w:t>3、运输要求：运输工具应清洁卫生无污染，运输途中严防日晒、雨淋，注意通风散热。乙方品应小心轻卸，严防机械损伤。乙方需至少报备两台配送车辆，配送人员应固定。乙方如需要更换人员，需提前至少一周时间通知甲方负责人，并报备更换人员信息，以及提供从业人员健康证、无犯罪证明材料，乙方应负责培训人员保证熟悉岗位工作流程，更换报备车辆同上。</w:t>
      </w:r>
    </w:p>
    <w:p>
      <w:pPr>
        <w:spacing w:before="137" w:line="360" w:lineRule="auto"/>
        <w:ind w:firstLine="480" w:firstLineChars="200"/>
        <w:rPr>
          <w:rFonts w:ascii="宋体" w:hAnsi="宋体"/>
          <w:kern w:val="0"/>
          <w:sz w:val="24"/>
        </w:rPr>
      </w:pPr>
      <w:r>
        <w:rPr>
          <w:rFonts w:hint="eastAsia" w:ascii="宋体" w:hAnsi="宋体"/>
          <w:kern w:val="0"/>
          <w:sz w:val="24"/>
        </w:rPr>
        <w:t>4、能按照厨房要求对需要初加工的原材料进行加工并入库。</w:t>
      </w:r>
    </w:p>
    <w:p>
      <w:pPr>
        <w:spacing w:before="137" w:line="360" w:lineRule="auto"/>
        <w:ind w:firstLine="480" w:firstLineChars="200"/>
        <w:rPr>
          <w:rFonts w:ascii="宋体" w:hAnsi="宋体"/>
          <w:kern w:val="0"/>
          <w:sz w:val="24"/>
        </w:rPr>
      </w:pPr>
      <w:r>
        <w:rPr>
          <w:rFonts w:hint="eastAsia" w:ascii="宋体" w:hAnsi="宋体"/>
          <w:kern w:val="0"/>
          <w:sz w:val="24"/>
        </w:rPr>
        <w:t>5、乙方需在北京市范围内设有履行合同所必需的冷藏、仓储、场地等设施，以及为需方各食堂及时配送货物的专用交通工具和能力，并提供相关资质证明。这类包装及专用运输工具应采取防潮、防腐及防止其他损坏的必要保护措施，从而保护货物能够经受多次搬运、装卸及运输。</w:t>
      </w:r>
    </w:p>
    <w:p>
      <w:pPr>
        <w:spacing w:before="137" w:line="360" w:lineRule="auto"/>
        <w:ind w:firstLine="480" w:firstLineChars="200"/>
        <w:rPr>
          <w:rFonts w:ascii="宋体" w:hAnsi="宋体"/>
          <w:kern w:val="0"/>
          <w:sz w:val="24"/>
        </w:rPr>
      </w:pPr>
      <w:r>
        <w:rPr>
          <w:rFonts w:hint="eastAsia" w:ascii="宋体" w:hAnsi="宋体"/>
          <w:kern w:val="0"/>
          <w:sz w:val="24"/>
        </w:rPr>
        <w:t>6、乙方须按每日采购单中注明的食材技术标准和数量供货，不可以次充好、缺斤短两现象，超过采购单数量的货品采购方有权利不接收。</w:t>
      </w:r>
    </w:p>
    <w:p>
      <w:pPr>
        <w:spacing w:before="137" w:line="360" w:lineRule="auto"/>
        <w:ind w:firstLine="480" w:firstLineChars="200"/>
        <w:rPr>
          <w:rFonts w:ascii="宋体" w:hAnsi="宋体"/>
          <w:kern w:val="0"/>
          <w:sz w:val="24"/>
        </w:rPr>
      </w:pPr>
      <w:r>
        <w:rPr>
          <w:rFonts w:hint="eastAsia" w:ascii="宋体" w:hAnsi="宋体"/>
          <w:kern w:val="0"/>
          <w:sz w:val="24"/>
        </w:rPr>
        <w:t>7、每日下午（15）点采购方工作人员将采购单发送至乙方，乙方须在（17）点前确认采购单并回复采购人。乙方按照每日配送时间（9）点前，将货品配送至（外交部张湾培训中心）指定地点，每批次均能提供证明材料。</w:t>
      </w:r>
    </w:p>
    <w:p>
      <w:pPr>
        <w:spacing w:before="137" w:line="360" w:lineRule="auto"/>
        <w:ind w:firstLine="480" w:firstLineChars="200"/>
        <w:rPr>
          <w:rFonts w:ascii="宋体" w:hAnsi="宋体"/>
          <w:kern w:val="0"/>
          <w:sz w:val="24"/>
        </w:rPr>
      </w:pPr>
      <w:r>
        <w:rPr>
          <w:rFonts w:hint="eastAsia" w:ascii="宋体" w:hAnsi="宋体"/>
          <w:kern w:val="0"/>
          <w:sz w:val="24"/>
        </w:rPr>
        <w:t>注意：如果不是每日，请注明具体时间。</w:t>
      </w:r>
    </w:p>
    <w:p>
      <w:pPr>
        <w:spacing w:before="137" w:line="360" w:lineRule="auto"/>
        <w:ind w:firstLine="480" w:firstLineChars="200"/>
        <w:rPr>
          <w:rFonts w:ascii="宋体" w:hAnsi="宋体"/>
          <w:kern w:val="0"/>
          <w:sz w:val="24"/>
        </w:rPr>
      </w:pPr>
      <w:r>
        <w:rPr>
          <w:rFonts w:hint="eastAsia" w:ascii="宋体" w:hAnsi="宋体"/>
          <w:kern w:val="0"/>
          <w:sz w:val="24"/>
        </w:rPr>
        <w:t>8、因采购方宴请、会议等原因临时或紧急使用少量货品的配送任务，乙方应按照采购方安排的配送时间按时到达采购方指定地点，一般须在三小时内送达，待采购人验收、核对后，供货才算完成。如遇应急配送情况，中标乙方不能提供的，使用部门可以找其他乙方采购。</w:t>
      </w:r>
    </w:p>
    <w:p>
      <w:pPr>
        <w:spacing w:before="137" w:line="360" w:lineRule="auto"/>
        <w:ind w:firstLine="480" w:firstLineChars="200"/>
        <w:rPr>
          <w:rFonts w:ascii="宋体" w:hAnsi="宋体"/>
          <w:kern w:val="0"/>
          <w:sz w:val="24"/>
        </w:rPr>
      </w:pPr>
      <w:r>
        <w:rPr>
          <w:rFonts w:hint="eastAsia" w:ascii="宋体" w:hAnsi="宋体"/>
          <w:kern w:val="0"/>
          <w:sz w:val="24"/>
        </w:rPr>
        <w:t>9、能提供供货代理证明文件或自产证明文件。</w:t>
      </w:r>
    </w:p>
    <w:p>
      <w:pPr>
        <w:spacing w:before="137" w:line="360" w:lineRule="auto"/>
        <w:ind w:firstLine="480" w:firstLineChars="200"/>
        <w:rPr>
          <w:rFonts w:ascii="宋体" w:hAnsi="宋体"/>
          <w:kern w:val="0"/>
          <w:sz w:val="24"/>
        </w:rPr>
      </w:pPr>
      <w:r>
        <w:rPr>
          <w:rFonts w:hint="eastAsia" w:ascii="宋体" w:hAnsi="宋体"/>
          <w:kern w:val="0"/>
          <w:sz w:val="24"/>
        </w:rPr>
        <w:t>10、每月能准时提供正式发票，每月及时汇总配送金额。</w:t>
      </w:r>
    </w:p>
    <w:p>
      <w:pPr>
        <w:spacing w:before="137" w:line="360" w:lineRule="auto"/>
        <w:ind w:firstLine="480" w:firstLineChars="200"/>
        <w:rPr>
          <w:rFonts w:ascii="宋体" w:hAnsi="宋体"/>
          <w:kern w:val="0"/>
          <w:sz w:val="24"/>
        </w:rPr>
      </w:pPr>
      <w:r>
        <w:rPr>
          <w:rFonts w:hint="eastAsia" w:ascii="宋体" w:hAnsi="宋体"/>
          <w:kern w:val="0"/>
          <w:sz w:val="24"/>
        </w:rPr>
        <w:t>★11、投标人所有产品的投标报价以北京新发地市场（http：//www.xinfadi.com.cn/）所公布的每日价格行情的平均价为基准下浮或上浮的百分比，投标报价最高限价为基准上浮15%，超过最高限价的投标报价将被拒绝。</w:t>
      </w:r>
    </w:p>
    <w:p>
      <w:pPr>
        <w:spacing w:before="137" w:line="360" w:lineRule="auto"/>
        <w:ind w:firstLine="480" w:firstLineChars="200"/>
        <w:rPr>
          <w:rFonts w:ascii="宋体" w:hAnsi="宋体"/>
          <w:kern w:val="0"/>
          <w:sz w:val="24"/>
        </w:rPr>
      </w:pPr>
      <w:r>
        <w:rPr>
          <w:rFonts w:hint="eastAsia" w:ascii="宋体" w:hAnsi="宋体"/>
          <w:kern w:val="0"/>
          <w:sz w:val="24"/>
        </w:rPr>
        <w:t>12、具体配送时间及地点要求：</w:t>
      </w:r>
    </w:p>
    <w:p>
      <w:pPr>
        <w:spacing w:before="137" w:line="360" w:lineRule="auto"/>
        <w:ind w:firstLine="480" w:firstLineChars="200"/>
        <w:rPr>
          <w:rFonts w:ascii="宋体" w:hAnsi="宋体"/>
          <w:kern w:val="0"/>
          <w:sz w:val="24"/>
        </w:rPr>
      </w:pPr>
      <w:r>
        <w:rPr>
          <w:rFonts w:hint="eastAsia" w:ascii="宋体" w:hAnsi="宋体"/>
          <w:kern w:val="0"/>
          <w:sz w:val="24"/>
        </w:rPr>
        <w:t>配送地点：北京市通州区张家湾镇西定福村南183号外交部培训中心。</w:t>
      </w:r>
    </w:p>
    <w:p>
      <w:pPr>
        <w:spacing w:before="137" w:line="360" w:lineRule="auto"/>
        <w:ind w:firstLine="480" w:firstLineChars="200"/>
        <w:rPr>
          <w:ins w:id="0" w:author="Administrator" w:date="2022-01-17T09:42:00Z"/>
          <w:rFonts w:ascii="宋体" w:hAnsi="宋体"/>
          <w:kern w:val="0"/>
          <w:sz w:val="24"/>
        </w:rPr>
      </w:pPr>
      <w:r>
        <w:rPr>
          <w:rFonts w:hint="eastAsia" w:ascii="宋体" w:hAnsi="宋体"/>
          <w:kern w:val="0"/>
          <w:sz w:val="24"/>
        </w:rPr>
        <w:t>配送时间要求：每日早9:00前送达。</w:t>
      </w:r>
    </w:p>
    <w:p>
      <w:pPr>
        <w:spacing w:before="137" w:line="360" w:lineRule="auto"/>
        <w:ind w:firstLine="480" w:firstLineChars="200"/>
        <w:rPr>
          <w:rFonts w:ascii="宋体" w:hAnsi="宋体"/>
          <w:kern w:val="0"/>
          <w:sz w:val="24"/>
        </w:rPr>
      </w:pPr>
      <w:r>
        <w:rPr>
          <w:rFonts w:hint="eastAsia" w:ascii="宋体" w:hAnsi="宋体"/>
          <w:kern w:val="0"/>
          <w:sz w:val="24"/>
        </w:rPr>
        <w:t>三、食品质量标准</w:t>
      </w:r>
    </w:p>
    <w:p>
      <w:pPr>
        <w:spacing w:before="137" w:line="360" w:lineRule="auto"/>
        <w:ind w:firstLine="480" w:firstLineChars="200"/>
        <w:rPr>
          <w:ins w:id="1" w:author="子淳" w:date="2022-01-14T13:35:00Z"/>
          <w:rFonts w:ascii="宋体" w:hAnsi="宋体"/>
          <w:kern w:val="0"/>
          <w:sz w:val="24"/>
        </w:rPr>
      </w:pPr>
      <w:r>
        <w:rPr>
          <w:rFonts w:hint="eastAsia" w:ascii="宋体" w:hAnsi="宋体"/>
          <w:kern w:val="0"/>
          <w:sz w:val="24"/>
        </w:rPr>
        <w:t>各项食品须符合国家标准，经检验合格。</w:t>
      </w:r>
    </w:p>
    <w:p>
      <w:pPr>
        <w:spacing w:before="137" w:line="360" w:lineRule="auto"/>
        <w:ind w:firstLine="480" w:firstLineChars="200"/>
        <w:rPr>
          <w:rFonts w:ascii="宋体" w:hAnsi="宋体"/>
          <w:kern w:val="0"/>
          <w:sz w:val="24"/>
        </w:rPr>
      </w:pPr>
      <w:r>
        <w:rPr>
          <w:rFonts w:hint="eastAsia" w:ascii="宋体" w:hAnsi="宋体"/>
          <w:kern w:val="0"/>
          <w:sz w:val="24"/>
        </w:rPr>
        <w:t>四、物资验收</w:t>
      </w:r>
    </w:p>
    <w:p>
      <w:pPr>
        <w:spacing w:before="137" w:line="360" w:lineRule="auto"/>
        <w:ind w:firstLine="480" w:firstLineChars="200"/>
        <w:rPr>
          <w:rFonts w:ascii="宋体" w:hAnsi="宋体"/>
          <w:kern w:val="0"/>
          <w:sz w:val="24"/>
        </w:rPr>
      </w:pPr>
      <w:r>
        <w:rPr>
          <w:rFonts w:hint="eastAsia" w:ascii="宋体" w:hAnsi="宋体"/>
          <w:kern w:val="0"/>
          <w:sz w:val="24"/>
        </w:rPr>
        <w:t>（一）按甲方相关的《食品验收标准》进行验收。</w:t>
      </w:r>
    </w:p>
    <w:p>
      <w:pPr>
        <w:spacing w:before="137" w:line="360" w:lineRule="auto"/>
        <w:ind w:firstLine="480" w:firstLineChars="200"/>
        <w:rPr>
          <w:rFonts w:ascii="宋体" w:hAnsi="宋体"/>
          <w:kern w:val="0"/>
          <w:sz w:val="24"/>
        </w:rPr>
      </w:pPr>
      <w:r>
        <w:rPr>
          <w:rFonts w:hint="eastAsia" w:ascii="宋体" w:hAnsi="宋体"/>
          <w:kern w:val="0"/>
          <w:sz w:val="24"/>
        </w:rPr>
        <w:t>（二）双方对质量有争议，如需将食品送至具有资质的质量检测机构检测的，若检测结果合格，检测费用由甲方支付；若检测结果不合格，则检测费用由乙方支付。</w:t>
      </w:r>
    </w:p>
    <w:p>
      <w:pPr>
        <w:spacing w:before="137" w:line="360" w:lineRule="auto"/>
        <w:ind w:firstLine="480" w:firstLineChars="200"/>
        <w:rPr>
          <w:rFonts w:ascii="宋体" w:hAnsi="宋体"/>
          <w:kern w:val="0"/>
          <w:sz w:val="24"/>
        </w:rPr>
      </w:pPr>
      <w:r>
        <w:rPr>
          <w:rFonts w:hint="eastAsia" w:ascii="宋体" w:hAnsi="宋体"/>
          <w:kern w:val="0"/>
          <w:sz w:val="24"/>
        </w:rPr>
        <w:t>五、乙方的管理要求</w:t>
      </w:r>
    </w:p>
    <w:p>
      <w:pPr>
        <w:spacing w:before="137" w:line="360" w:lineRule="auto"/>
        <w:ind w:firstLine="480" w:firstLineChars="200"/>
        <w:rPr>
          <w:ins w:id="2" w:author="Administrator" w:date="2022-01-17T09:42:00Z"/>
          <w:rFonts w:ascii="宋体" w:hAnsi="宋体"/>
          <w:kern w:val="0"/>
          <w:sz w:val="24"/>
        </w:rPr>
      </w:pPr>
      <w:r>
        <w:rPr>
          <w:rFonts w:hint="eastAsia" w:ascii="宋体" w:hAnsi="宋体"/>
          <w:kern w:val="0"/>
          <w:sz w:val="24"/>
        </w:rPr>
        <w:t xml:space="preserve">（一）乙方有以下行为，经调查属实的，甲方有权立即解除相关供应合同： </w:t>
      </w:r>
    </w:p>
    <w:p>
      <w:pPr>
        <w:spacing w:before="137" w:line="360" w:lineRule="auto"/>
        <w:ind w:firstLine="480" w:firstLineChars="200"/>
        <w:rPr>
          <w:rFonts w:ascii="宋体" w:hAnsi="宋体"/>
          <w:kern w:val="0"/>
          <w:sz w:val="24"/>
        </w:rPr>
      </w:pPr>
      <w:r>
        <w:rPr>
          <w:rFonts w:hint="eastAsia" w:ascii="宋体" w:hAnsi="宋体"/>
          <w:kern w:val="0"/>
          <w:sz w:val="24"/>
        </w:rPr>
        <w:t>1、弄虚作假，提供虚假材料取得中标供应资格的；</w:t>
      </w:r>
    </w:p>
    <w:p>
      <w:pPr>
        <w:spacing w:before="137" w:line="360" w:lineRule="auto"/>
        <w:ind w:firstLine="480" w:firstLineChars="200"/>
        <w:rPr>
          <w:rFonts w:ascii="宋体" w:hAnsi="宋体"/>
          <w:kern w:val="0"/>
          <w:sz w:val="24"/>
        </w:rPr>
      </w:pPr>
      <w:r>
        <w:rPr>
          <w:rFonts w:hint="eastAsia" w:ascii="宋体" w:hAnsi="宋体"/>
          <w:kern w:val="0"/>
          <w:sz w:val="24"/>
        </w:rPr>
        <w:t>2、中标供应项目有转包、分包行为的；</w:t>
      </w:r>
    </w:p>
    <w:p>
      <w:pPr>
        <w:spacing w:before="137" w:line="360" w:lineRule="auto"/>
        <w:ind w:firstLine="480" w:firstLineChars="200"/>
        <w:rPr>
          <w:rFonts w:ascii="宋体" w:hAnsi="宋体"/>
          <w:kern w:val="0"/>
          <w:sz w:val="24"/>
        </w:rPr>
      </w:pPr>
      <w:r>
        <w:rPr>
          <w:rFonts w:hint="eastAsia" w:ascii="宋体" w:hAnsi="宋体"/>
          <w:kern w:val="0"/>
          <w:sz w:val="24"/>
        </w:rPr>
        <w:t>3、经营情况发生重大变更，已经不具备承接中标供应项目能力的；</w:t>
      </w:r>
    </w:p>
    <w:p>
      <w:pPr>
        <w:spacing w:before="137" w:line="360" w:lineRule="auto"/>
        <w:ind w:firstLine="480" w:firstLineChars="200"/>
        <w:rPr>
          <w:rFonts w:ascii="宋体" w:hAnsi="宋体"/>
          <w:kern w:val="0"/>
          <w:sz w:val="24"/>
        </w:rPr>
      </w:pPr>
      <w:r>
        <w:rPr>
          <w:rFonts w:hint="eastAsia" w:ascii="宋体" w:hAnsi="宋体"/>
          <w:kern w:val="0"/>
          <w:sz w:val="24"/>
        </w:rPr>
        <w:t>4、无正当理由拒绝、迟延履行合同向甲方供货的；</w:t>
      </w:r>
    </w:p>
    <w:p>
      <w:pPr>
        <w:spacing w:before="137" w:line="360" w:lineRule="auto"/>
        <w:ind w:firstLine="480" w:firstLineChars="200"/>
        <w:rPr>
          <w:rFonts w:ascii="宋体" w:hAnsi="宋体"/>
          <w:kern w:val="0"/>
          <w:sz w:val="24"/>
        </w:rPr>
      </w:pPr>
      <w:r>
        <w:rPr>
          <w:rFonts w:hint="eastAsia" w:ascii="宋体" w:hAnsi="宋体"/>
          <w:kern w:val="0"/>
          <w:sz w:val="24"/>
        </w:rPr>
        <w:t>5、有行贿、给回扣等不正当竞争行为的；</w:t>
      </w:r>
    </w:p>
    <w:p>
      <w:pPr>
        <w:spacing w:before="137" w:line="360" w:lineRule="auto"/>
        <w:ind w:firstLine="480" w:firstLineChars="200"/>
        <w:rPr>
          <w:rFonts w:ascii="宋体" w:hAnsi="宋体"/>
          <w:kern w:val="0"/>
          <w:sz w:val="24"/>
        </w:rPr>
      </w:pPr>
      <w:r>
        <w:rPr>
          <w:rFonts w:hint="eastAsia" w:ascii="宋体" w:hAnsi="宋体"/>
          <w:kern w:val="0"/>
          <w:sz w:val="24"/>
        </w:rPr>
        <w:t>6、因所供食品质量原因导致发生食品安全事故的；</w:t>
      </w:r>
    </w:p>
    <w:p>
      <w:pPr>
        <w:spacing w:before="137" w:line="360" w:lineRule="auto"/>
        <w:ind w:firstLine="480" w:firstLineChars="200"/>
        <w:rPr>
          <w:rFonts w:ascii="宋体" w:hAnsi="宋体"/>
          <w:kern w:val="0"/>
          <w:sz w:val="24"/>
        </w:rPr>
      </w:pPr>
      <w:r>
        <w:rPr>
          <w:rFonts w:hint="eastAsia" w:ascii="宋体" w:hAnsi="宋体"/>
          <w:kern w:val="0"/>
          <w:sz w:val="24"/>
        </w:rPr>
        <w:t>7、所供应食品存在假冒、伪劣、缺斤短两等行为的；</w:t>
      </w:r>
    </w:p>
    <w:p>
      <w:pPr>
        <w:spacing w:before="137" w:line="360" w:lineRule="auto"/>
        <w:ind w:firstLine="480" w:firstLineChars="200"/>
        <w:rPr>
          <w:rFonts w:ascii="宋体" w:hAnsi="宋体"/>
          <w:kern w:val="0"/>
          <w:sz w:val="24"/>
        </w:rPr>
      </w:pPr>
      <w:r>
        <w:rPr>
          <w:rFonts w:hint="eastAsia" w:ascii="宋体" w:hAnsi="宋体"/>
          <w:kern w:val="0"/>
          <w:sz w:val="24"/>
        </w:rPr>
        <w:t>8、有其它违法违纪行为及违反本合同义务的；</w:t>
      </w:r>
    </w:p>
    <w:p>
      <w:pPr>
        <w:spacing w:before="137" w:line="360" w:lineRule="auto"/>
        <w:ind w:firstLine="480" w:firstLineChars="200"/>
        <w:rPr>
          <w:rFonts w:ascii="宋体" w:hAnsi="宋体"/>
          <w:kern w:val="0"/>
          <w:sz w:val="24"/>
        </w:rPr>
      </w:pPr>
      <w:r>
        <w:rPr>
          <w:rFonts w:hint="eastAsia" w:ascii="宋体" w:hAnsi="宋体"/>
          <w:kern w:val="0"/>
          <w:sz w:val="24"/>
        </w:rPr>
        <w:t>（二）由于甲方工作的特殊性，乙方应做好本单位工作人员的管理工作，遵守甲方管理等各项规定。</w:t>
      </w:r>
    </w:p>
    <w:p>
      <w:pPr>
        <w:spacing w:before="137" w:line="360" w:lineRule="auto"/>
        <w:ind w:firstLine="480" w:firstLineChars="200"/>
        <w:rPr>
          <w:rFonts w:ascii="宋体" w:hAnsi="宋体"/>
          <w:kern w:val="0"/>
          <w:sz w:val="24"/>
        </w:rPr>
      </w:pPr>
      <w:r>
        <w:rPr>
          <w:rFonts w:hint="eastAsia" w:ascii="宋体" w:hAnsi="宋体"/>
          <w:kern w:val="0"/>
          <w:sz w:val="24"/>
        </w:rPr>
        <w:t>（三）乙方应严格按招标要求（含品种、质量等）供应，不得变更供应商品，否则，甲方有权拒收、退货。</w:t>
      </w:r>
    </w:p>
    <w:p>
      <w:pPr>
        <w:spacing w:before="137" w:line="360" w:lineRule="auto"/>
        <w:ind w:firstLine="480" w:firstLineChars="200"/>
        <w:rPr>
          <w:rFonts w:ascii="宋体" w:hAnsi="宋体"/>
          <w:kern w:val="0"/>
          <w:sz w:val="24"/>
        </w:rPr>
      </w:pPr>
      <w:r>
        <w:rPr>
          <w:rFonts w:hint="eastAsia" w:ascii="宋体" w:hAnsi="宋体"/>
          <w:kern w:val="0"/>
          <w:sz w:val="24"/>
        </w:rPr>
        <w:t>（四）因生产商原因停产、改变生产规格的，乙方凭生产商证明告知甲方，甲方经市场调查确认，选择替换品种、规格，经双方协商定价后确认更换的品种、规格、价格，并签订补充协议。</w:t>
      </w:r>
    </w:p>
    <w:p>
      <w:pPr>
        <w:spacing w:before="137" w:line="360" w:lineRule="auto"/>
        <w:ind w:firstLine="480" w:firstLineChars="200"/>
        <w:rPr>
          <w:rFonts w:ascii="宋体" w:hAnsi="宋体"/>
          <w:kern w:val="0"/>
          <w:sz w:val="24"/>
        </w:rPr>
      </w:pPr>
      <w:r>
        <w:rPr>
          <w:rFonts w:hint="eastAsia" w:ascii="宋体" w:hAnsi="宋体"/>
          <w:kern w:val="0"/>
          <w:sz w:val="24"/>
        </w:rPr>
        <w:t>（五） 按合同对商品进行严格验收，对不符合规格要求的商品，乙方必须无条件退货或更换。</w:t>
      </w:r>
    </w:p>
    <w:p>
      <w:pPr>
        <w:spacing w:before="137" w:line="360" w:lineRule="auto"/>
        <w:ind w:firstLine="480" w:firstLineChars="200"/>
        <w:rPr>
          <w:rFonts w:ascii="宋体" w:hAnsi="宋体"/>
          <w:kern w:val="0"/>
          <w:sz w:val="24"/>
        </w:rPr>
      </w:pPr>
      <w:r>
        <w:rPr>
          <w:rFonts w:hint="eastAsia" w:ascii="宋体" w:hAnsi="宋体"/>
          <w:kern w:val="0"/>
          <w:sz w:val="24"/>
        </w:rPr>
        <w:t>（六）乙方须按供应商品的销售额及甲方要求开具国家正式发票。</w:t>
      </w:r>
    </w:p>
    <w:p>
      <w:pPr>
        <w:spacing w:before="137" w:line="360" w:lineRule="auto"/>
        <w:ind w:firstLine="480" w:firstLineChars="200"/>
        <w:rPr>
          <w:rFonts w:ascii="宋体" w:hAnsi="宋体"/>
          <w:kern w:val="0"/>
          <w:sz w:val="24"/>
        </w:rPr>
      </w:pPr>
      <w:r>
        <w:rPr>
          <w:rFonts w:hint="eastAsia" w:ascii="宋体" w:hAnsi="宋体"/>
          <w:kern w:val="0"/>
          <w:sz w:val="24"/>
        </w:rPr>
        <w:t>（七）食品溯源要求。食品供应链必须明确，所有食品的来源必须清晰，来源应当是受到地方政府部门监管的流通市场或具有相关资质的厂家生产，食品生产企业必须获得工业产品生产许可证（0S），生产食品的源头与供应商要有固定的合法的供应关系。乙方应至少保存以下资料：</w:t>
      </w:r>
    </w:p>
    <w:p>
      <w:pPr>
        <w:spacing w:before="137" w:line="360" w:lineRule="auto"/>
        <w:ind w:firstLine="480" w:firstLineChars="200"/>
        <w:rPr>
          <w:rFonts w:ascii="宋体" w:hAnsi="宋体"/>
          <w:kern w:val="0"/>
          <w:sz w:val="24"/>
        </w:rPr>
      </w:pPr>
      <w:r>
        <w:rPr>
          <w:rFonts w:hint="eastAsia" w:ascii="宋体" w:hAnsi="宋体"/>
          <w:kern w:val="0"/>
          <w:sz w:val="24"/>
        </w:rPr>
        <w:t>1、供应商与生产企业的销售合同；</w:t>
      </w:r>
    </w:p>
    <w:p>
      <w:pPr>
        <w:spacing w:before="137" w:line="360" w:lineRule="auto"/>
        <w:ind w:firstLine="480" w:firstLineChars="200"/>
        <w:rPr>
          <w:rFonts w:ascii="宋体" w:hAnsi="宋体"/>
          <w:kern w:val="0"/>
          <w:sz w:val="24"/>
        </w:rPr>
      </w:pPr>
      <w:r>
        <w:rPr>
          <w:rFonts w:hint="eastAsia" w:ascii="宋体" w:hAnsi="宋体"/>
          <w:kern w:val="0"/>
          <w:sz w:val="24"/>
        </w:rPr>
        <w:t>2、生产企业的送货单和销售发票；</w:t>
      </w:r>
    </w:p>
    <w:p>
      <w:pPr>
        <w:spacing w:before="137" w:line="360" w:lineRule="auto"/>
        <w:ind w:firstLine="480" w:firstLineChars="200"/>
        <w:rPr>
          <w:rFonts w:ascii="宋体" w:hAnsi="宋体"/>
          <w:kern w:val="0"/>
          <w:sz w:val="24"/>
        </w:rPr>
      </w:pPr>
      <w:r>
        <w:rPr>
          <w:rFonts w:hint="eastAsia" w:ascii="宋体" w:hAnsi="宋体"/>
          <w:kern w:val="0"/>
          <w:sz w:val="24"/>
        </w:rPr>
        <w:t>3、供应商与采购方的采购合同及送货单据、销售发票。</w:t>
      </w:r>
    </w:p>
    <w:p>
      <w:pPr>
        <w:spacing w:before="137" w:line="360" w:lineRule="auto"/>
        <w:ind w:firstLine="480" w:firstLineChars="200"/>
        <w:rPr>
          <w:rFonts w:ascii="宋体" w:hAnsi="宋体"/>
          <w:kern w:val="0"/>
          <w:sz w:val="24"/>
        </w:rPr>
      </w:pPr>
      <w:r>
        <w:rPr>
          <w:rFonts w:hint="eastAsia" w:ascii="宋体" w:hAnsi="宋体"/>
          <w:kern w:val="0"/>
          <w:sz w:val="24"/>
        </w:rPr>
        <w:t>六、履约保证金</w:t>
      </w:r>
    </w:p>
    <w:p>
      <w:pPr>
        <w:spacing w:before="137" w:line="360" w:lineRule="auto"/>
        <w:ind w:firstLine="480" w:firstLineChars="200"/>
        <w:rPr>
          <w:rFonts w:ascii="宋体" w:hAnsi="宋体"/>
          <w:kern w:val="0"/>
          <w:sz w:val="24"/>
        </w:rPr>
      </w:pPr>
      <w:r>
        <w:rPr>
          <w:rFonts w:hint="eastAsia" w:ascii="宋体" w:hAnsi="宋体"/>
          <w:kern w:val="0"/>
          <w:sz w:val="24"/>
        </w:rPr>
        <w:t>（一）乙方与甲方在中标公告发布后签订合同。</w:t>
      </w:r>
    </w:p>
    <w:p>
      <w:pPr>
        <w:spacing w:before="137" w:line="360" w:lineRule="auto"/>
        <w:ind w:firstLine="480" w:firstLineChars="200"/>
        <w:rPr>
          <w:rFonts w:ascii="宋体" w:hAnsi="宋体"/>
          <w:kern w:val="0"/>
          <w:sz w:val="24"/>
        </w:rPr>
      </w:pPr>
      <w:r>
        <w:rPr>
          <w:rFonts w:hint="eastAsia" w:ascii="宋体" w:hAnsi="宋体"/>
          <w:kern w:val="0"/>
          <w:sz w:val="24"/>
        </w:rPr>
        <w:t>（二）合同签订前五个工作日内，乙方须向甲方支付合同总价的 5% 作为履约保证金， 在乙方完成其合同义务，包括任何保证义务后 30 日内，甲方一次性无息退还保证金。</w:t>
      </w:r>
    </w:p>
    <w:p>
      <w:pPr>
        <w:spacing w:before="137" w:line="360" w:lineRule="auto"/>
        <w:ind w:firstLine="480" w:firstLineChars="200"/>
        <w:rPr>
          <w:rFonts w:ascii="宋体" w:hAnsi="宋体"/>
          <w:kern w:val="0"/>
          <w:sz w:val="24"/>
        </w:rPr>
      </w:pPr>
      <w:r>
        <w:rPr>
          <w:rFonts w:hint="eastAsia" w:ascii="宋体" w:hAnsi="宋体"/>
          <w:kern w:val="0"/>
          <w:sz w:val="24"/>
        </w:rPr>
        <w:t>七、配送与支付要求</w:t>
      </w:r>
    </w:p>
    <w:p>
      <w:pPr>
        <w:spacing w:before="137" w:line="360" w:lineRule="auto"/>
        <w:ind w:firstLine="480" w:firstLineChars="200"/>
        <w:rPr>
          <w:rFonts w:ascii="宋体" w:hAnsi="宋体"/>
          <w:kern w:val="0"/>
          <w:sz w:val="24"/>
        </w:rPr>
      </w:pPr>
      <w:r>
        <w:rPr>
          <w:rFonts w:hint="eastAsia" w:ascii="宋体" w:hAnsi="宋体"/>
          <w:kern w:val="0"/>
          <w:sz w:val="24"/>
        </w:rPr>
        <w:t>（一）乙方需按照甲方采购清单要求，将食品送至甲方指定地点。</w:t>
      </w:r>
    </w:p>
    <w:p>
      <w:pPr>
        <w:spacing w:before="137" w:line="360" w:lineRule="auto"/>
        <w:ind w:firstLine="480" w:firstLineChars="200"/>
        <w:rPr>
          <w:rFonts w:ascii="宋体" w:hAnsi="宋体"/>
          <w:kern w:val="0"/>
          <w:sz w:val="24"/>
        </w:rPr>
      </w:pPr>
      <w:r>
        <w:rPr>
          <w:rFonts w:hint="eastAsia" w:ascii="宋体" w:hAnsi="宋体"/>
          <w:kern w:val="0"/>
          <w:sz w:val="24"/>
        </w:rPr>
        <w:t>（二）首次供应时，应提供乙方的《营业执照》、《食品生产许可证》或《食品经营许可证》等证照复印件予甲方存档。每次供应时应向甲方提供供货清单（送货单）。</w:t>
      </w:r>
    </w:p>
    <w:p>
      <w:pPr>
        <w:spacing w:before="137" w:line="360" w:lineRule="auto"/>
        <w:ind w:firstLine="480" w:firstLineChars="200"/>
        <w:rPr>
          <w:rFonts w:ascii="宋体" w:hAnsi="宋体"/>
          <w:kern w:val="0"/>
          <w:sz w:val="24"/>
        </w:rPr>
      </w:pPr>
      <w:r>
        <w:rPr>
          <w:rFonts w:hint="eastAsia" w:ascii="宋体" w:hAnsi="宋体"/>
          <w:kern w:val="0"/>
          <w:sz w:val="24"/>
        </w:rPr>
        <w:t>（三）整个运输过程应科学合理，运输必须采用符合卫生要求的外包装和运载工具， 并且要保持清洁和定期消毒，车厢内无不良气味、异味。</w:t>
      </w:r>
    </w:p>
    <w:p>
      <w:pPr>
        <w:spacing w:before="137" w:line="360" w:lineRule="auto"/>
        <w:ind w:firstLine="480" w:firstLineChars="200"/>
        <w:rPr>
          <w:rFonts w:ascii="宋体" w:hAnsi="宋体"/>
          <w:kern w:val="0"/>
          <w:sz w:val="24"/>
        </w:rPr>
      </w:pPr>
      <w:r>
        <w:rPr>
          <w:rFonts w:hint="eastAsia" w:ascii="宋体" w:hAnsi="宋体"/>
          <w:kern w:val="0"/>
          <w:sz w:val="24"/>
        </w:rPr>
        <w:t>（四）商品包装要求，容器（框、箱、袋）要求清洁、干燥、牢固、无异味、无霉变现象，食品包装符合国家有关法规、标准的要求，包装完好无破损。</w:t>
      </w:r>
    </w:p>
    <w:p>
      <w:pPr>
        <w:spacing w:before="137" w:line="360" w:lineRule="auto"/>
        <w:ind w:firstLine="480" w:firstLineChars="200"/>
        <w:rPr>
          <w:rFonts w:ascii="宋体" w:hAnsi="宋体"/>
          <w:kern w:val="0"/>
          <w:sz w:val="24"/>
        </w:rPr>
      </w:pPr>
      <w:r>
        <w:rPr>
          <w:rFonts w:hint="eastAsia" w:ascii="宋体" w:hAnsi="宋体"/>
          <w:kern w:val="0"/>
          <w:sz w:val="24"/>
        </w:rPr>
        <w:t>（五）送货时间：合同签订后，乙方应于每日上午 9：00 前将甲方订购食品送达甲方指定地点。甲方根据实际需求， 于每日下午 15：00 前将采购需求通知乙方，乙方须在 17：00 前确认采购单并回复甲方。</w:t>
      </w:r>
    </w:p>
    <w:p>
      <w:pPr>
        <w:spacing w:before="137" w:line="360" w:lineRule="auto"/>
        <w:ind w:firstLine="480" w:firstLineChars="200"/>
        <w:rPr>
          <w:rFonts w:ascii="宋体" w:hAnsi="宋体"/>
          <w:kern w:val="0"/>
          <w:sz w:val="24"/>
        </w:rPr>
      </w:pPr>
      <w:r>
        <w:rPr>
          <w:rFonts w:hint="eastAsia" w:ascii="宋体" w:hAnsi="宋体"/>
          <w:kern w:val="0"/>
          <w:sz w:val="24"/>
        </w:rPr>
        <w:t>（六）乙方在接到通知后备齐食品，按时送抵交货地点。乙方除不可抗力，不得因其他任何理由延迟送货。如遇特殊情况需调整送货时间，甲方应提前一天通知乙方， 乙方须配合。乙方不能按时、按质、按量供货，导致无法正常供应伙食的，甲方有权自行采购同等质量的食品，由此造成的经济损失和责任均由乙方承担，并承担违约责任。</w:t>
      </w:r>
    </w:p>
    <w:p>
      <w:pPr>
        <w:spacing w:before="137" w:line="360" w:lineRule="auto"/>
        <w:ind w:firstLine="480" w:firstLineChars="200"/>
        <w:rPr>
          <w:rFonts w:ascii="宋体" w:hAnsi="宋体"/>
          <w:kern w:val="0"/>
          <w:sz w:val="24"/>
        </w:rPr>
      </w:pPr>
      <w:r>
        <w:rPr>
          <w:rFonts w:hint="eastAsia" w:ascii="宋体" w:hAnsi="宋体"/>
          <w:kern w:val="0"/>
          <w:sz w:val="24"/>
        </w:rPr>
        <w:t>（七）付款方式：乙方需每月及时汇总配送金额，乙方按甲方要求完成上月供货后，于次月 15 号前凭国家正式发票向甲方申请付款，甲方收到申请后在 10 个工作日内结清货款。</w:t>
      </w:r>
    </w:p>
    <w:p>
      <w:pPr>
        <w:spacing w:before="137" w:line="360" w:lineRule="auto"/>
        <w:ind w:firstLine="480" w:firstLineChars="200"/>
        <w:rPr>
          <w:rFonts w:ascii="宋体" w:hAnsi="宋体"/>
          <w:kern w:val="0"/>
          <w:sz w:val="24"/>
        </w:rPr>
      </w:pPr>
      <w:r>
        <w:rPr>
          <w:rFonts w:hint="eastAsia" w:ascii="宋体" w:hAnsi="宋体"/>
          <w:kern w:val="0"/>
          <w:sz w:val="24"/>
        </w:rPr>
        <w:t>八、运输方式及费用负担</w:t>
      </w:r>
    </w:p>
    <w:p>
      <w:pPr>
        <w:spacing w:before="137" w:line="360" w:lineRule="auto"/>
        <w:ind w:firstLine="480" w:firstLineChars="200"/>
        <w:rPr>
          <w:rFonts w:ascii="宋体" w:hAnsi="宋体"/>
          <w:kern w:val="0"/>
          <w:sz w:val="24"/>
        </w:rPr>
      </w:pPr>
      <w:r>
        <w:rPr>
          <w:rFonts w:hint="eastAsia" w:ascii="宋体" w:hAnsi="宋体"/>
          <w:kern w:val="0"/>
          <w:sz w:val="24"/>
        </w:rPr>
        <w:t>乙方在组织食品供应的运输费、搬运费、税金等一切费用由乙方负担，到达甲方指定地点时，乙方负责卸车。</w:t>
      </w:r>
    </w:p>
    <w:p>
      <w:pPr>
        <w:spacing w:before="137" w:line="360" w:lineRule="auto"/>
        <w:ind w:firstLine="480" w:firstLineChars="200"/>
        <w:rPr>
          <w:rFonts w:ascii="宋体" w:hAnsi="宋体"/>
          <w:kern w:val="0"/>
          <w:sz w:val="24"/>
        </w:rPr>
      </w:pPr>
      <w:r>
        <w:rPr>
          <w:rFonts w:hint="eastAsia" w:ascii="宋体" w:hAnsi="宋体"/>
          <w:kern w:val="0"/>
          <w:sz w:val="24"/>
        </w:rPr>
        <w:t>九、供货计量</w:t>
      </w:r>
    </w:p>
    <w:p>
      <w:pPr>
        <w:spacing w:before="137" w:line="360" w:lineRule="auto"/>
        <w:ind w:firstLine="480" w:firstLineChars="200"/>
        <w:rPr>
          <w:rFonts w:ascii="宋体" w:hAnsi="宋体"/>
          <w:kern w:val="0"/>
          <w:sz w:val="24"/>
        </w:rPr>
      </w:pPr>
      <w:r>
        <w:rPr>
          <w:rFonts w:hint="eastAsia" w:ascii="宋体" w:hAnsi="宋体"/>
          <w:kern w:val="0"/>
          <w:sz w:val="24"/>
        </w:rPr>
        <w:t>以交货地清点为准。</w:t>
      </w:r>
    </w:p>
    <w:p>
      <w:pPr>
        <w:spacing w:before="137" w:line="360" w:lineRule="auto"/>
        <w:ind w:firstLine="480" w:firstLineChars="200"/>
        <w:rPr>
          <w:rFonts w:ascii="宋体" w:hAnsi="宋体"/>
          <w:kern w:val="0"/>
          <w:sz w:val="24"/>
        </w:rPr>
      </w:pPr>
      <w:r>
        <w:rPr>
          <w:rFonts w:hint="eastAsia" w:ascii="宋体" w:hAnsi="宋体"/>
          <w:kern w:val="0"/>
          <w:sz w:val="24"/>
        </w:rPr>
        <w:t>十、包装标准及包装费用负担</w:t>
      </w:r>
    </w:p>
    <w:p>
      <w:pPr>
        <w:spacing w:before="137" w:line="360" w:lineRule="auto"/>
        <w:ind w:firstLine="480" w:firstLineChars="200"/>
        <w:rPr>
          <w:rFonts w:ascii="宋体" w:hAnsi="宋体"/>
          <w:kern w:val="0"/>
          <w:sz w:val="24"/>
        </w:rPr>
      </w:pPr>
      <w:r>
        <w:rPr>
          <w:rFonts w:hint="eastAsia" w:ascii="宋体" w:hAnsi="宋体"/>
          <w:kern w:val="0"/>
          <w:sz w:val="24"/>
        </w:rPr>
        <w:t>用于食品包装的材料必须清洁，食品无污染。食品的包装和标签必须符合相应的规定和要求，包装费用由乙方负担。</w:t>
      </w:r>
    </w:p>
    <w:p>
      <w:pPr>
        <w:spacing w:before="137" w:line="360" w:lineRule="auto"/>
        <w:ind w:firstLine="480" w:firstLineChars="200"/>
        <w:rPr>
          <w:rFonts w:ascii="宋体" w:hAnsi="宋体"/>
          <w:kern w:val="0"/>
          <w:sz w:val="24"/>
        </w:rPr>
      </w:pPr>
      <w:r>
        <w:rPr>
          <w:rFonts w:hint="eastAsia" w:ascii="宋体" w:hAnsi="宋体"/>
          <w:kern w:val="0"/>
          <w:sz w:val="24"/>
        </w:rPr>
        <w:t>十一、双方权利义务</w:t>
      </w:r>
    </w:p>
    <w:p>
      <w:pPr>
        <w:spacing w:before="137" w:line="360" w:lineRule="auto"/>
        <w:ind w:firstLine="480" w:firstLineChars="200"/>
        <w:rPr>
          <w:rFonts w:ascii="宋体" w:hAnsi="宋体"/>
          <w:kern w:val="0"/>
          <w:sz w:val="24"/>
        </w:rPr>
      </w:pPr>
      <w:r>
        <w:rPr>
          <w:rFonts w:hint="eastAsia" w:ascii="宋体" w:hAnsi="宋体"/>
          <w:kern w:val="0"/>
          <w:sz w:val="24"/>
        </w:rPr>
        <w:t>1、甲方对不符合《食品验收标准》的食品，有权作退货处理；甲方有按时与乙方结算货款的义务。</w:t>
      </w:r>
    </w:p>
    <w:p>
      <w:pPr>
        <w:spacing w:before="137" w:line="360" w:lineRule="auto"/>
        <w:ind w:firstLine="480" w:firstLineChars="200"/>
        <w:rPr>
          <w:rFonts w:ascii="宋体" w:hAnsi="宋体"/>
          <w:kern w:val="0"/>
          <w:sz w:val="24"/>
        </w:rPr>
      </w:pPr>
      <w:r>
        <w:rPr>
          <w:rFonts w:hint="eastAsia" w:ascii="宋体" w:hAnsi="宋体"/>
          <w:kern w:val="0"/>
          <w:sz w:val="24"/>
        </w:rPr>
        <w:t>2、由于食品的质量问题或乙方不能按时按量供应，造成甲方无法正常供应的，甲方有权自行采购同等质量的食品，相应费用由乙方承担。</w:t>
      </w:r>
    </w:p>
    <w:p>
      <w:pPr>
        <w:spacing w:before="137" w:line="360" w:lineRule="auto"/>
        <w:ind w:firstLine="480" w:firstLineChars="200"/>
        <w:rPr>
          <w:rFonts w:ascii="宋体" w:hAnsi="宋体"/>
          <w:kern w:val="0"/>
          <w:sz w:val="24"/>
        </w:rPr>
      </w:pPr>
      <w:r>
        <w:rPr>
          <w:rFonts w:hint="eastAsia" w:ascii="宋体" w:hAnsi="宋体"/>
          <w:kern w:val="0"/>
          <w:sz w:val="24"/>
        </w:rPr>
        <w:t>3、乙方应严格按照合同要求和国家有关标准生产和检验，确保食品质量。凡乙方提供的商品因质量问题造成食品安全事故，由乙方承担一切责任并赔偿切损失。</w:t>
      </w:r>
    </w:p>
    <w:p>
      <w:pPr>
        <w:spacing w:before="137" w:line="360" w:lineRule="auto"/>
        <w:ind w:firstLine="480" w:firstLineChars="200"/>
        <w:rPr>
          <w:rFonts w:ascii="宋体" w:hAnsi="宋体"/>
          <w:kern w:val="0"/>
          <w:sz w:val="24"/>
        </w:rPr>
      </w:pPr>
      <w:r>
        <w:rPr>
          <w:rFonts w:hint="eastAsia" w:ascii="宋体" w:hAnsi="宋体"/>
          <w:kern w:val="0"/>
          <w:sz w:val="24"/>
        </w:rPr>
        <w:t>4、乙方工作人员必须遵守甲方人员管理规定，违反相关规定的人员不得再次入部， 造成严重后果的除依法追求其法律责任外，甲方有权取消乙方供应资格并终止合同。</w:t>
      </w:r>
    </w:p>
    <w:p>
      <w:pPr>
        <w:spacing w:before="137" w:line="360" w:lineRule="auto"/>
        <w:ind w:firstLine="480" w:firstLineChars="200"/>
        <w:rPr>
          <w:rFonts w:ascii="宋体" w:hAnsi="宋体"/>
          <w:kern w:val="0"/>
          <w:sz w:val="24"/>
        </w:rPr>
      </w:pPr>
      <w:r>
        <w:rPr>
          <w:rFonts w:hint="eastAsia" w:ascii="宋体" w:hAnsi="宋体"/>
          <w:kern w:val="0"/>
          <w:sz w:val="24"/>
        </w:rPr>
        <w:t>5、乙方不得以任何形式向甲方相关人员行贿或采取其他不正当手段谋取非法利益。若有违反以上内容的行为，有关主管部门或纪检监察机关将视情节轻重给予不同程度的处罚。</w:t>
      </w:r>
    </w:p>
    <w:p>
      <w:pPr>
        <w:spacing w:before="137" w:line="360" w:lineRule="auto"/>
        <w:ind w:firstLine="480" w:firstLineChars="200"/>
        <w:rPr>
          <w:rFonts w:ascii="宋体" w:hAnsi="宋体"/>
          <w:kern w:val="0"/>
          <w:sz w:val="24"/>
        </w:rPr>
      </w:pPr>
      <w:r>
        <w:rPr>
          <w:rFonts w:hint="eastAsia" w:ascii="宋体" w:hAnsi="宋体"/>
          <w:kern w:val="0"/>
          <w:sz w:val="24"/>
        </w:rPr>
        <w:t>6、一方若需提前终止合同,需提前一个月以书面形式通知对方。合同双方在合同期内因业务需要变更名称、账号等内容的，变更方凭工商、银行等部门出具的有效资料， 于变更后的五个工作日内通知对方，对方应及时更改相关信息。</w:t>
      </w:r>
    </w:p>
    <w:p>
      <w:pPr>
        <w:spacing w:before="137" w:line="360" w:lineRule="auto"/>
        <w:ind w:firstLine="480" w:firstLineChars="200"/>
        <w:rPr>
          <w:rFonts w:ascii="宋体" w:hAnsi="宋体"/>
          <w:kern w:val="0"/>
          <w:sz w:val="24"/>
        </w:rPr>
      </w:pPr>
      <w:r>
        <w:rPr>
          <w:rFonts w:hint="eastAsia" w:ascii="宋体" w:hAnsi="宋体"/>
          <w:kern w:val="0"/>
          <w:sz w:val="24"/>
        </w:rPr>
        <w:t>十二、违约</w:t>
      </w:r>
    </w:p>
    <w:p>
      <w:pPr>
        <w:spacing w:before="137" w:line="360" w:lineRule="auto"/>
        <w:ind w:firstLine="480" w:firstLineChars="200"/>
        <w:rPr>
          <w:rFonts w:ascii="宋体" w:hAnsi="宋体"/>
          <w:kern w:val="0"/>
          <w:sz w:val="24"/>
        </w:rPr>
      </w:pPr>
      <w:r>
        <w:rPr>
          <w:rFonts w:hint="eastAsia" w:ascii="宋体" w:hAnsi="宋体"/>
          <w:kern w:val="0"/>
          <w:sz w:val="24"/>
        </w:rPr>
        <w:t>因乙方原因造成甲方损失的，乙方需承担违约责任，甲方有权根据违约情况扣除履约保证金，具体情形详见合同附件 2《罚则明细》。</w:t>
      </w:r>
    </w:p>
    <w:p>
      <w:pPr>
        <w:spacing w:before="137" w:line="360" w:lineRule="auto"/>
        <w:ind w:firstLine="480" w:firstLineChars="200"/>
        <w:rPr>
          <w:rFonts w:ascii="宋体" w:hAnsi="宋体"/>
          <w:kern w:val="0"/>
          <w:sz w:val="24"/>
        </w:rPr>
      </w:pPr>
      <w:r>
        <w:rPr>
          <w:rFonts w:hint="eastAsia" w:ascii="宋体" w:hAnsi="宋体"/>
          <w:kern w:val="0"/>
          <w:sz w:val="24"/>
        </w:rPr>
        <w:t>由于政策改变等不可抗力因素，甲方不再采购食材的，本合同自行终止，甲方不承担任何违约责任。</w:t>
      </w:r>
    </w:p>
    <w:p>
      <w:pPr>
        <w:spacing w:before="137" w:line="360" w:lineRule="auto"/>
        <w:ind w:firstLine="480" w:firstLineChars="200"/>
        <w:rPr>
          <w:rFonts w:ascii="宋体" w:hAnsi="宋体"/>
          <w:kern w:val="0"/>
          <w:sz w:val="24"/>
        </w:rPr>
      </w:pPr>
      <w:r>
        <w:rPr>
          <w:rFonts w:hint="eastAsia" w:ascii="宋体" w:hAnsi="宋体"/>
          <w:kern w:val="0"/>
          <w:sz w:val="24"/>
        </w:rPr>
        <w:t>十三、合同生效</w:t>
      </w:r>
    </w:p>
    <w:p>
      <w:pPr>
        <w:spacing w:before="137" w:line="360" w:lineRule="auto"/>
        <w:ind w:firstLine="480" w:firstLineChars="200"/>
        <w:rPr>
          <w:rFonts w:ascii="宋体" w:hAnsi="宋体"/>
          <w:kern w:val="0"/>
          <w:sz w:val="24"/>
        </w:rPr>
      </w:pPr>
      <w:r>
        <w:rPr>
          <w:rFonts w:hint="eastAsia" w:ascii="宋体" w:hAnsi="宋体"/>
          <w:kern w:val="0"/>
          <w:sz w:val="24"/>
        </w:rPr>
        <w:t>合同经双方授权代表签字盖章，且甲方收到乙方提交的履约保证金后生效，合同生效日期以较迟签注的日期为准。</w:t>
      </w:r>
    </w:p>
    <w:p>
      <w:pPr>
        <w:spacing w:before="137" w:line="360" w:lineRule="auto"/>
        <w:ind w:firstLine="480" w:firstLineChars="200"/>
        <w:rPr>
          <w:rFonts w:ascii="宋体" w:hAnsi="宋体"/>
          <w:kern w:val="0"/>
          <w:sz w:val="24"/>
        </w:rPr>
      </w:pPr>
      <w:r>
        <w:rPr>
          <w:rFonts w:hint="eastAsia" w:ascii="宋体" w:hAnsi="宋体"/>
          <w:kern w:val="0"/>
          <w:sz w:val="24"/>
        </w:rPr>
        <w:t>十四、其它</w:t>
      </w:r>
    </w:p>
    <w:p>
      <w:pPr>
        <w:spacing w:before="137" w:line="360" w:lineRule="auto"/>
        <w:ind w:firstLine="480" w:firstLineChars="200"/>
        <w:rPr>
          <w:rFonts w:ascii="宋体" w:hAnsi="宋体"/>
          <w:kern w:val="0"/>
          <w:sz w:val="24"/>
        </w:rPr>
      </w:pPr>
      <w:r>
        <w:rPr>
          <w:rFonts w:hint="eastAsia" w:ascii="宋体" w:hAnsi="宋体"/>
          <w:kern w:val="0"/>
          <w:sz w:val="24"/>
        </w:rPr>
        <w:t>1、中标通知书、投标文件、招标文件及本合同之所有附件均为本合同的有效组成部分， 与本合同具有同样法律效力，解释的顺序以文件生成时间在后的为准。</w:t>
      </w:r>
    </w:p>
    <w:p>
      <w:pPr>
        <w:spacing w:before="137" w:line="360" w:lineRule="auto"/>
        <w:ind w:firstLine="480" w:firstLineChars="200"/>
        <w:rPr>
          <w:rFonts w:ascii="宋体" w:hAnsi="宋体"/>
          <w:kern w:val="0"/>
          <w:sz w:val="24"/>
        </w:rPr>
      </w:pPr>
      <w:r>
        <w:rPr>
          <w:rFonts w:hint="eastAsia" w:ascii="宋体" w:hAnsi="宋体"/>
          <w:kern w:val="0"/>
          <w:sz w:val="24"/>
        </w:rPr>
        <w:t>2、本合同正本陆份，具有同等法律效力，甲乙双方各执叁份，合同自签字、盖章之日起成立。</w:t>
      </w:r>
    </w:p>
    <w:p>
      <w:pPr>
        <w:spacing w:before="137" w:line="360" w:lineRule="auto"/>
        <w:ind w:firstLine="480" w:firstLineChars="200"/>
        <w:rPr>
          <w:rFonts w:ascii="宋体" w:hAnsi="宋体"/>
          <w:kern w:val="0"/>
          <w:sz w:val="24"/>
        </w:rPr>
      </w:pPr>
      <w:r>
        <w:rPr>
          <w:rFonts w:hint="eastAsia" w:ascii="宋体" w:hAnsi="宋体"/>
          <w:kern w:val="0"/>
          <w:sz w:val="24"/>
        </w:rPr>
        <w:t>3、在执行本合同的过程中，所有经甲乙双方签署确认的文件（包括会议纪要、补充协议、合同修改书、往来信函等）均为本合同的有效组成部分。</w:t>
      </w:r>
    </w:p>
    <w:p>
      <w:pPr>
        <w:spacing w:before="137" w:line="360" w:lineRule="auto"/>
        <w:ind w:firstLine="480" w:firstLineChars="200"/>
        <w:rPr>
          <w:rFonts w:ascii="宋体" w:hAnsi="宋体"/>
          <w:kern w:val="0"/>
          <w:sz w:val="24"/>
        </w:rPr>
      </w:pPr>
      <w:r>
        <w:rPr>
          <w:rFonts w:hint="eastAsia" w:ascii="宋体" w:hAnsi="宋体"/>
          <w:kern w:val="0"/>
          <w:sz w:val="24"/>
        </w:rPr>
        <w:t>4、本合同履行过程中发生争议，双方应协商解决，解决不成由甲方所在地人民法院管辖。</w:t>
      </w:r>
    </w:p>
    <w:p>
      <w:pPr>
        <w:spacing w:before="137" w:line="360" w:lineRule="auto"/>
        <w:rPr>
          <w:rFonts w:ascii="宋体" w:hAnsi="宋体"/>
          <w:kern w:val="0"/>
          <w:sz w:val="24"/>
        </w:rPr>
      </w:pPr>
      <w:r>
        <w:rPr>
          <w:rFonts w:hint="eastAsia" w:ascii="宋体" w:hAnsi="宋体"/>
          <w:kern w:val="0"/>
          <w:sz w:val="24"/>
        </w:rPr>
        <w:t>（以下无正文。）</w:t>
      </w:r>
    </w:p>
    <w:p>
      <w:pPr>
        <w:spacing w:before="137" w:line="360" w:lineRule="auto"/>
        <w:rPr>
          <w:rFonts w:ascii="宋体" w:hAnsi="宋体"/>
          <w:kern w:val="0"/>
          <w:sz w:val="24"/>
        </w:rPr>
      </w:pPr>
    </w:p>
    <w:p>
      <w:pPr>
        <w:jc w:val="left"/>
        <w:rPr>
          <w:rFonts w:ascii="宋体" w:hAnsi="宋体" w:cs="宋体"/>
          <w:kern w:val="0"/>
          <w:sz w:val="20"/>
          <w:szCs w:val="20"/>
        </w:rPr>
      </w:pPr>
    </w:p>
    <w:p>
      <w:pPr>
        <w:jc w:val="left"/>
        <w:rPr>
          <w:rFonts w:ascii="宋体" w:hAnsi="宋体" w:cs="宋体"/>
          <w:kern w:val="0"/>
          <w:sz w:val="20"/>
          <w:szCs w:val="20"/>
        </w:rPr>
      </w:pPr>
    </w:p>
    <w:p>
      <w:pPr>
        <w:jc w:val="left"/>
        <w:rPr>
          <w:rFonts w:ascii="宋体" w:hAnsi="宋体" w:cs="宋体"/>
          <w:kern w:val="0"/>
          <w:sz w:val="20"/>
          <w:szCs w:val="20"/>
        </w:rPr>
      </w:pPr>
    </w:p>
    <w:p>
      <w:pPr>
        <w:jc w:val="left"/>
        <w:rPr>
          <w:rFonts w:ascii="宋体" w:hAnsi="宋体" w:cs="宋体"/>
          <w:kern w:val="0"/>
          <w:sz w:val="20"/>
          <w:szCs w:val="20"/>
        </w:rPr>
        <w:sectPr>
          <w:pgSz w:w="11910" w:h="16840"/>
          <w:pgMar w:top="1180" w:right="1600" w:bottom="1160" w:left="1140" w:header="0" w:footer="975" w:gutter="0"/>
          <w:cols w:space="720" w:num="1"/>
        </w:sectPr>
      </w:pPr>
    </w:p>
    <w:p>
      <w:pPr>
        <w:tabs>
          <w:tab w:val="left" w:pos="3819"/>
        </w:tabs>
        <w:spacing w:before="195"/>
        <w:ind w:left="108"/>
        <w:jc w:val="left"/>
        <w:rPr>
          <w:rFonts w:eastAsia="Times New Roman"/>
          <w:kern w:val="0"/>
          <w:sz w:val="24"/>
        </w:rPr>
      </w:pPr>
      <w:r>
        <w:rPr>
          <w:rFonts w:ascii="宋体" w:hAnsi="宋体"/>
          <w:kern w:val="0"/>
          <w:sz w:val="24"/>
        </w:rPr>
        <w:t>甲方：</w:t>
      </w:r>
      <w:r>
        <w:rPr>
          <w:rFonts w:eastAsia="Times New Roman"/>
          <w:kern w:val="0"/>
          <w:sz w:val="24"/>
          <w:u w:val="single" w:color="000000"/>
        </w:rPr>
        <w:t xml:space="preserve"> </w:t>
      </w:r>
    </w:p>
    <w:p>
      <w:pPr>
        <w:tabs>
          <w:tab w:val="left" w:pos="3951"/>
        </w:tabs>
        <w:spacing w:before="195"/>
        <w:ind w:left="108"/>
        <w:jc w:val="left"/>
        <w:rPr>
          <w:rFonts w:eastAsia="Times New Roman"/>
          <w:kern w:val="0"/>
          <w:sz w:val="24"/>
        </w:rPr>
      </w:pPr>
      <w:r>
        <w:rPr>
          <w:rFonts w:ascii="宋体" w:hAnsi="宋体"/>
          <w:kern w:val="0"/>
          <w:sz w:val="24"/>
        </w:rPr>
        <w:br w:type="column"/>
      </w:r>
      <w:r>
        <w:rPr>
          <w:rFonts w:ascii="宋体" w:hAnsi="宋体"/>
          <w:kern w:val="0"/>
          <w:sz w:val="24"/>
        </w:rPr>
        <w:t>乙方：</w:t>
      </w:r>
      <w:r>
        <w:rPr>
          <w:rFonts w:eastAsia="Times New Roman"/>
          <w:kern w:val="0"/>
          <w:sz w:val="24"/>
          <w:u w:val="single" w:color="000000"/>
        </w:rPr>
        <w:t xml:space="preserve"> </w:t>
      </w:r>
    </w:p>
    <w:p>
      <w:pPr>
        <w:jc w:val="left"/>
        <w:rPr>
          <w:rFonts w:eastAsia="Times New Roman"/>
          <w:kern w:val="0"/>
          <w:sz w:val="22"/>
          <w:szCs w:val="22"/>
        </w:rPr>
        <w:sectPr>
          <w:type w:val="continuous"/>
          <w:pgSz w:w="11910" w:h="16840"/>
          <w:pgMar w:top="1260" w:right="1600" w:bottom="280" w:left="1140" w:header="720" w:footer="720" w:gutter="0"/>
          <w:cols w:equalWidth="0" w:num="2">
            <w:col w:w="3820" w:space="1221"/>
            <w:col w:w="4129"/>
          </w:cols>
        </w:sectPr>
      </w:pPr>
    </w:p>
    <w:p>
      <w:pPr>
        <w:spacing w:before="2"/>
        <w:jc w:val="left"/>
        <w:rPr>
          <w:rFonts w:eastAsia="Times New Roman"/>
          <w:kern w:val="0"/>
          <w:sz w:val="11"/>
          <w:szCs w:val="11"/>
        </w:rPr>
      </w:pPr>
    </w:p>
    <w:p>
      <w:pPr>
        <w:tabs>
          <w:tab w:val="left" w:pos="5149"/>
        </w:tabs>
        <w:spacing w:before="26"/>
        <w:ind w:left="108"/>
        <w:jc w:val="left"/>
        <w:rPr>
          <w:rFonts w:ascii="宋体" w:hAnsi="宋体"/>
          <w:kern w:val="0"/>
          <w:sz w:val="24"/>
        </w:rPr>
      </w:pPr>
      <w:r>
        <w:rPr>
          <w:rFonts w:ascii="宋体" w:hAnsi="宋体"/>
          <w:spacing w:val="-12"/>
          <w:kern w:val="0"/>
          <w:sz w:val="24"/>
        </w:rPr>
        <w:t>（甲方名称）（印章）（乙方名称）（印章）</w:t>
      </w:r>
    </w:p>
    <w:p>
      <w:pPr>
        <w:jc w:val="left"/>
        <w:rPr>
          <w:rFonts w:ascii="宋体" w:hAnsi="宋体" w:cs="宋体"/>
          <w:kern w:val="0"/>
          <w:sz w:val="20"/>
          <w:szCs w:val="20"/>
        </w:rPr>
      </w:pPr>
    </w:p>
    <w:p>
      <w:pPr>
        <w:spacing w:before="4"/>
        <w:jc w:val="left"/>
        <w:rPr>
          <w:rFonts w:ascii="宋体" w:hAnsi="宋体" w:cs="宋体"/>
          <w:kern w:val="0"/>
          <w:szCs w:val="21"/>
        </w:rPr>
      </w:pPr>
    </w:p>
    <w:p>
      <w:pPr>
        <w:jc w:val="left"/>
        <w:rPr>
          <w:rFonts w:ascii="宋体" w:hAnsi="宋体" w:cs="宋体"/>
          <w:kern w:val="0"/>
          <w:szCs w:val="21"/>
        </w:rPr>
        <w:sectPr>
          <w:type w:val="continuous"/>
          <w:pgSz w:w="11910" w:h="16840"/>
          <w:pgMar w:top="1260" w:right="1600" w:bottom="280" w:left="1140" w:header="720" w:footer="720" w:gutter="0"/>
          <w:cols w:space="720" w:num="1"/>
        </w:sectPr>
      </w:pPr>
    </w:p>
    <w:p>
      <w:pPr>
        <w:tabs>
          <w:tab w:val="left" w:pos="3671"/>
        </w:tabs>
        <w:spacing w:before="26"/>
        <w:ind w:left="108"/>
        <w:jc w:val="left"/>
        <w:rPr>
          <w:rFonts w:eastAsia="Times New Roman"/>
          <w:kern w:val="0"/>
          <w:sz w:val="24"/>
        </w:rPr>
      </w:pPr>
      <w:r>
        <w:rPr>
          <w:rFonts w:ascii="宋体" w:hAnsi="宋体"/>
          <w:spacing w:val="-14"/>
          <w:kern w:val="0"/>
          <w:sz w:val="24"/>
        </w:rPr>
        <w:t>全权代表（签字）：</w:t>
      </w:r>
      <w:r>
        <w:rPr>
          <w:rFonts w:eastAsia="Times New Roman"/>
          <w:kern w:val="0"/>
          <w:sz w:val="24"/>
          <w:u w:val="single" w:color="000000"/>
        </w:rPr>
        <w:t xml:space="preserve"> </w:t>
      </w:r>
    </w:p>
    <w:p>
      <w:pPr>
        <w:tabs>
          <w:tab w:val="left" w:pos="3938"/>
        </w:tabs>
        <w:spacing w:before="26"/>
        <w:ind w:left="108"/>
        <w:jc w:val="left"/>
        <w:rPr>
          <w:rFonts w:eastAsia="Times New Roman"/>
          <w:kern w:val="0"/>
          <w:sz w:val="24"/>
        </w:rPr>
      </w:pPr>
      <w:r>
        <w:rPr>
          <w:rFonts w:ascii="宋体" w:hAnsi="宋体"/>
          <w:spacing w:val="-14"/>
          <w:kern w:val="0"/>
          <w:sz w:val="24"/>
        </w:rPr>
        <w:br w:type="column"/>
      </w:r>
      <w:r>
        <w:rPr>
          <w:rFonts w:ascii="宋体" w:hAnsi="宋体"/>
          <w:spacing w:val="-14"/>
          <w:kern w:val="0"/>
          <w:sz w:val="24"/>
        </w:rPr>
        <w:t>全权代表（签字）：</w:t>
      </w:r>
      <w:r>
        <w:rPr>
          <w:rFonts w:eastAsia="Times New Roman"/>
          <w:spacing w:val="-14"/>
          <w:kern w:val="0"/>
          <w:sz w:val="24"/>
          <w:u w:val="single" w:color="000000"/>
        </w:rPr>
        <w:t xml:space="preserve"> </w:t>
      </w:r>
    </w:p>
    <w:p>
      <w:pPr>
        <w:jc w:val="left"/>
        <w:rPr>
          <w:rFonts w:eastAsia="Times New Roman"/>
          <w:kern w:val="0"/>
          <w:sz w:val="22"/>
          <w:szCs w:val="22"/>
        </w:rPr>
        <w:sectPr>
          <w:type w:val="continuous"/>
          <w:pgSz w:w="11910" w:h="16840"/>
          <w:pgMar w:top="1260" w:right="1600" w:bottom="280" w:left="1140" w:header="720" w:footer="720" w:gutter="0"/>
          <w:cols w:equalWidth="0" w:num="2">
            <w:col w:w="3672" w:space="1368"/>
            <w:col w:w="4130"/>
          </w:cols>
        </w:sectPr>
      </w:pPr>
    </w:p>
    <w:p>
      <w:pPr>
        <w:spacing w:before="11"/>
        <w:jc w:val="left"/>
        <w:rPr>
          <w:rFonts w:eastAsia="Times New Roman"/>
          <w:kern w:val="0"/>
          <w:sz w:val="10"/>
          <w:szCs w:val="10"/>
        </w:rPr>
      </w:pPr>
    </w:p>
    <w:p>
      <w:pPr>
        <w:tabs>
          <w:tab w:val="left" w:pos="1668"/>
          <w:tab w:val="left" w:pos="2508"/>
          <w:tab w:val="left" w:pos="3348"/>
          <w:tab w:val="left" w:pos="5149"/>
          <w:tab w:val="left" w:pos="6949"/>
          <w:tab w:val="left" w:pos="7789"/>
          <w:tab w:val="left" w:pos="8509"/>
        </w:tabs>
        <w:spacing w:before="26"/>
        <w:ind w:left="108"/>
        <w:jc w:val="left"/>
        <w:rPr>
          <w:rFonts w:ascii="宋体" w:hAnsi="宋体"/>
          <w:kern w:val="0"/>
          <w:sz w:val="24"/>
          <w:u w:val="single" w:color="000000"/>
        </w:rPr>
      </w:pPr>
      <w:r>
        <w:rPr>
          <w:rFonts w:ascii="宋体" w:hAnsi="宋体"/>
          <w:kern w:val="0"/>
          <w:sz w:val="24"/>
        </w:rPr>
        <w:t>日期：</w:t>
      </w:r>
      <w:r>
        <w:rPr>
          <w:rFonts w:ascii="宋体" w:hAnsi="宋体"/>
          <w:kern w:val="0"/>
          <w:sz w:val="24"/>
          <w:u w:val="single" w:color="000000"/>
        </w:rPr>
        <w:t>年月日</w:t>
      </w:r>
      <w:r>
        <w:rPr>
          <w:rFonts w:ascii="宋体" w:hAnsi="宋体"/>
          <w:kern w:val="0"/>
          <w:sz w:val="24"/>
        </w:rPr>
        <w:t>日期：</w:t>
      </w:r>
      <w:r>
        <w:rPr>
          <w:rFonts w:ascii="宋体" w:hAnsi="宋体"/>
          <w:kern w:val="0"/>
          <w:sz w:val="24"/>
          <w:u w:val="single" w:color="000000"/>
        </w:rPr>
        <w:t>年月日</w:t>
      </w:r>
    </w:p>
    <w:p>
      <w:pPr>
        <w:tabs>
          <w:tab w:val="left" w:pos="1668"/>
          <w:tab w:val="left" w:pos="2508"/>
          <w:tab w:val="left" w:pos="3348"/>
          <w:tab w:val="left" w:pos="5149"/>
          <w:tab w:val="left" w:pos="6949"/>
          <w:tab w:val="left" w:pos="7789"/>
          <w:tab w:val="left" w:pos="8509"/>
        </w:tabs>
        <w:spacing w:before="26"/>
        <w:ind w:left="108"/>
        <w:jc w:val="left"/>
        <w:rPr>
          <w:rFonts w:ascii="宋体" w:hAnsi="宋体"/>
          <w:kern w:val="0"/>
          <w:sz w:val="24"/>
          <w:u w:val="single" w:color="000000"/>
        </w:rPr>
      </w:pPr>
    </w:p>
    <w:p>
      <w:pPr>
        <w:tabs>
          <w:tab w:val="left" w:pos="2165"/>
          <w:tab w:val="left" w:pos="2839"/>
          <w:tab w:val="left" w:pos="3052"/>
          <w:tab w:val="left" w:pos="3787"/>
          <w:tab w:val="left" w:pos="3818"/>
        </w:tabs>
        <w:spacing w:before="26" w:line="348" w:lineRule="auto"/>
        <w:ind w:left="108"/>
        <w:rPr>
          <w:rFonts w:ascii="Arial" w:hAnsi="Arial" w:eastAsia="Arial" w:cs="Arial"/>
          <w:kern w:val="0"/>
          <w:sz w:val="24"/>
        </w:rPr>
      </w:pPr>
      <w:r>
        <w:rPr>
          <w:rFonts w:ascii="宋体" w:hAnsi="宋体"/>
          <w:kern w:val="0"/>
          <w:sz w:val="24"/>
        </w:rPr>
        <w:t>地址：</w:t>
      </w:r>
      <w:r>
        <w:rPr>
          <w:rFonts w:ascii="Arial" w:hAnsi="Arial" w:eastAsia="Arial" w:cs="Arial"/>
          <w:kern w:val="0"/>
          <w:sz w:val="24"/>
          <w:u w:val="single" w:color="000000"/>
        </w:rPr>
        <w:t xml:space="preserve">_    </w:t>
      </w:r>
      <w:r>
        <w:rPr>
          <w:rFonts w:ascii="Arial" w:hAnsi="Arial" w:eastAsia="Arial" w:cs="Arial"/>
          <w:spacing w:val="24"/>
          <w:kern w:val="0"/>
          <w:sz w:val="24"/>
          <w:u w:val="single" w:color="000000"/>
        </w:rPr>
        <w:t xml:space="preserve"> </w:t>
      </w:r>
      <w:r>
        <w:rPr>
          <w:rFonts w:ascii="Arial" w:hAnsi="Arial" w:eastAsia="Arial" w:cs="Arial"/>
          <w:kern w:val="0"/>
          <w:sz w:val="24"/>
          <w:u w:val="single" w:color="000000"/>
        </w:rPr>
        <w:t xml:space="preserve">_ </w:t>
      </w:r>
      <w:r>
        <w:rPr>
          <w:rFonts w:ascii="Arial" w:hAnsi="Arial" w:eastAsia="Arial" w:cs="Arial"/>
          <w:kern w:val="0"/>
          <w:sz w:val="24"/>
        </w:rPr>
        <w:t xml:space="preserve"> </w:t>
      </w:r>
      <w:r>
        <w:rPr>
          <w:rFonts w:ascii="宋体" w:hAnsi="宋体"/>
          <w:kern w:val="0"/>
          <w:sz w:val="24"/>
        </w:rPr>
        <w:t>邮政编码：</w:t>
      </w:r>
      <w:r>
        <w:rPr>
          <w:rFonts w:eastAsia="Times New Roman"/>
          <w:kern w:val="0"/>
          <w:sz w:val="24"/>
          <w:u w:val="thick" w:color="000000"/>
        </w:rPr>
        <w:t xml:space="preserve"> </w:t>
      </w:r>
      <w:r>
        <w:rPr>
          <w:rFonts w:eastAsia="Times New Roman"/>
          <w:w w:val="21"/>
          <w:kern w:val="0"/>
          <w:sz w:val="24"/>
          <w:u w:val="thick" w:color="000000"/>
        </w:rPr>
        <w:t xml:space="preserve"> </w:t>
      </w:r>
      <w:r>
        <w:rPr>
          <w:rFonts w:eastAsia="Times New Roman"/>
          <w:kern w:val="0"/>
          <w:sz w:val="24"/>
        </w:rPr>
        <w:t xml:space="preserve"> </w:t>
      </w:r>
      <w:r>
        <w:rPr>
          <w:rFonts w:ascii="宋体" w:hAnsi="宋体"/>
          <w:kern w:val="0"/>
          <w:sz w:val="24"/>
        </w:rPr>
        <w:t>电话：</w:t>
      </w:r>
      <w:r>
        <w:rPr>
          <w:rFonts w:ascii="Arial" w:hAnsi="Arial" w:eastAsia="Arial" w:cs="Arial"/>
          <w:kern w:val="0"/>
          <w:sz w:val="24"/>
          <w:u w:val="thick" w:color="000000"/>
        </w:rPr>
        <w:t xml:space="preserve">_ </w:t>
      </w:r>
      <w:r>
        <w:rPr>
          <w:rFonts w:ascii="Arial" w:hAnsi="Arial" w:eastAsia="Arial" w:cs="Arial"/>
          <w:w w:val="29"/>
          <w:kern w:val="0"/>
          <w:sz w:val="24"/>
          <w:u w:val="thick" w:color="000000"/>
        </w:rPr>
        <w:t xml:space="preserve"> </w:t>
      </w:r>
      <w:r>
        <w:rPr>
          <w:rFonts w:ascii="Arial" w:hAnsi="Arial" w:eastAsia="Arial" w:cs="Arial"/>
          <w:kern w:val="0"/>
          <w:sz w:val="24"/>
        </w:rPr>
        <w:t xml:space="preserve"> </w:t>
      </w:r>
      <w:r>
        <w:rPr>
          <w:rFonts w:ascii="宋体" w:hAnsi="宋体"/>
          <w:kern w:val="0"/>
          <w:sz w:val="24"/>
        </w:rPr>
        <w:t>开户银行：</w:t>
      </w:r>
      <w:r>
        <w:rPr>
          <w:rFonts w:eastAsia="Times New Roman"/>
          <w:kern w:val="0"/>
          <w:sz w:val="24"/>
          <w:u w:val="thick" w:color="000000"/>
        </w:rPr>
        <w:t xml:space="preserve"> </w:t>
      </w:r>
      <w:r>
        <w:rPr>
          <w:rFonts w:eastAsia="Times New Roman"/>
          <w:w w:val="26"/>
          <w:kern w:val="0"/>
          <w:sz w:val="24"/>
          <w:u w:val="thick" w:color="000000"/>
        </w:rPr>
        <w:t xml:space="preserve"> </w:t>
      </w:r>
      <w:r>
        <w:rPr>
          <w:rFonts w:eastAsia="Times New Roman"/>
          <w:kern w:val="0"/>
          <w:sz w:val="24"/>
        </w:rPr>
        <w:t xml:space="preserve"> </w:t>
      </w:r>
      <w:r>
        <w:rPr>
          <w:rFonts w:ascii="宋体" w:hAnsi="宋体"/>
          <w:kern w:val="0"/>
          <w:sz w:val="24"/>
        </w:rPr>
        <w:t>账户：</w:t>
      </w:r>
      <w:r>
        <w:rPr>
          <w:rFonts w:ascii="Arial" w:hAnsi="Arial" w:eastAsia="Arial" w:cs="Arial"/>
          <w:kern w:val="0"/>
          <w:sz w:val="24"/>
          <w:u w:val="single" w:color="000000"/>
        </w:rPr>
        <w:t xml:space="preserve">_        </w:t>
      </w:r>
      <w:r>
        <w:rPr>
          <w:rFonts w:ascii="Arial" w:hAnsi="Arial" w:eastAsia="Arial" w:cs="Arial"/>
          <w:spacing w:val="-2"/>
          <w:kern w:val="0"/>
          <w:sz w:val="24"/>
          <w:u w:val="single" w:color="000000"/>
        </w:rPr>
        <w:t xml:space="preserve"> </w:t>
      </w:r>
    </w:p>
    <w:p>
      <w:pPr>
        <w:tabs>
          <w:tab w:val="left" w:pos="1668"/>
          <w:tab w:val="left" w:pos="2508"/>
          <w:tab w:val="left" w:pos="3348"/>
          <w:tab w:val="left" w:pos="5149"/>
          <w:tab w:val="left" w:pos="6949"/>
          <w:tab w:val="left" w:pos="7789"/>
          <w:tab w:val="left" w:pos="8509"/>
        </w:tabs>
        <w:spacing w:before="26" w:line="360" w:lineRule="auto"/>
        <w:ind w:left="108" w:firstLine="640" w:firstLineChars="200"/>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合同附件 1《副食品采购验收标准》（试行）</w:t>
      </w:r>
    </w:p>
    <w:p>
      <w:pPr>
        <w:tabs>
          <w:tab w:val="left" w:pos="180"/>
          <w:tab w:val="left" w:pos="567"/>
          <w:tab w:val="left" w:pos="1620"/>
        </w:tabs>
        <w:spacing w:line="360" w:lineRule="auto"/>
        <w:ind w:firstLine="480" w:firstLineChars="200"/>
        <w:rPr>
          <w:rFonts w:ascii="宋体" w:hAnsi="宋体"/>
          <w:bCs/>
          <w:sz w:val="24"/>
        </w:rPr>
      </w:pPr>
      <w:r>
        <w:rPr>
          <w:rFonts w:hint="eastAsia" w:ascii="宋体" w:hAnsi="宋体"/>
          <w:bCs/>
          <w:sz w:val="24"/>
        </w:rPr>
        <w:t>一、产品基本要求：</w:t>
      </w:r>
    </w:p>
    <w:p>
      <w:pPr>
        <w:spacing w:line="360" w:lineRule="auto"/>
        <w:ind w:firstLine="480" w:firstLineChars="200"/>
        <w:rPr>
          <w:rFonts w:ascii="宋体" w:hAnsi="宋体" w:cs="仿宋"/>
          <w:bCs/>
          <w:sz w:val="24"/>
        </w:rPr>
      </w:pPr>
      <w:r>
        <w:rPr>
          <w:rFonts w:hint="eastAsia" w:ascii="宋体" w:hAnsi="宋体" w:cs="仿宋"/>
          <w:bCs/>
          <w:sz w:val="24"/>
        </w:rPr>
        <w:t>（一）蔬菜</w:t>
      </w:r>
    </w:p>
    <w:p>
      <w:pPr>
        <w:spacing w:line="360" w:lineRule="auto"/>
        <w:ind w:firstLine="480" w:firstLineChars="200"/>
        <w:rPr>
          <w:rFonts w:ascii="宋体" w:hAnsi="宋体" w:cs="仿宋"/>
          <w:bCs/>
          <w:sz w:val="24"/>
        </w:rPr>
      </w:pPr>
      <w:r>
        <w:rPr>
          <w:rFonts w:hint="eastAsia" w:ascii="宋体" w:hAnsi="宋体" w:cs="仿宋"/>
          <w:bCs/>
          <w:sz w:val="24"/>
        </w:rPr>
        <w:t>1、必须符合国家农产品质量法的基本要求，必须根据季节变换实施跟进，购买新鲜应季蔬菜，严禁购买生、烂、过季的蔬菜，严禁购买带有农药、粪便等不卫生蔬菜。必须达到感官质量指标和卫生质量指标，且农药检验符合标准要求（双方发生异议时以需求方标准为据）。</w:t>
      </w:r>
    </w:p>
    <w:p>
      <w:pPr>
        <w:spacing w:line="360" w:lineRule="auto"/>
        <w:ind w:firstLine="480" w:firstLineChars="200"/>
        <w:rPr>
          <w:rFonts w:ascii="宋体" w:hAnsi="宋体" w:cs="仿宋"/>
          <w:bCs/>
          <w:sz w:val="24"/>
        </w:rPr>
      </w:pPr>
      <w:r>
        <w:rPr>
          <w:rFonts w:hint="eastAsia" w:ascii="宋体" w:hAnsi="宋体" w:cs="仿宋"/>
          <w:bCs/>
          <w:sz w:val="24"/>
        </w:rPr>
        <w:t>2、从蔬菜色泽看，各种蔬菜都应具有本品种固有的颜色，大多数有发亮的光泽，以此显示蔬菜的成熟度及鲜嫩程度。</w:t>
      </w:r>
    </w:p>
    <w:p>
      <w:pPr>
        <w:spacing w:line="360" w:lineRule="auto"/>
        <w:ind w:firstLine="480" w:firstLineChars="200"/>
        <w:rPr>
          <w:rFonts w:ascii="宋体" w:hAnsi="宋体" w:cs="仿宋"/>
          <w:bCs/>
          <w:sz w:val="24"/>
        </w:rPr>
      </w:pPr>
      <w:r>
        <w:rPr>
          <w:rFonts w:hint="eastAsia" w:ascii="宋体" w:hAnsi="宋体" w:cs="仿宋"/>
          <w:bCs/>
          <w:sz w:val="24"/>
        </w:rPr>
        <w:t>3、从蔬菜气味看，多数蔬菜具有清馨、甘辛香、甜酸香等气味，可凭嗅觉识别不同品种的质量，不允许有腐烂变质的亚硝酸盐味和其他异常气味。</w:t>
      </w:r>
    </w:p>
    <w:p>
      <w:pPr>
        <w:spacing w:line="360" w:lineRule="auto"/>
        <w:ind w:firstLine="480" w:firstLineChars="200"/>
        <w:rPr>
          <w:rFonts w:ascii="宋体" w:hAnsi="宋体" w:cs="仿宋"/>
          <w:bCs/>
          <w:sz w:val="24"/>
        </w:rPr>
      </w:pPr>
      <w:r>
        <w:rPr>
          <w:rFonts w:hint="eastAsia" w:ascii="宋体" w:hAnsi="宋体" w:cs="仿宋"/>
          <w:bCs/>
          <w:sz w:val="24"/>
        </w:rPr>
        <w:t>4、从蔬菜滋味看，因品种不同而各异，多数蔬菜滋味甘淡、甜酸、清爽鲜美，少数具有辛酸、苦涩等特殊风味以刺激食欲，如失去本品种原有的滋味即为异常。</w:t>
      </w:r>
    </w:p>
    <w:p>
      <w:pPr>
        <w:spacing w:line="360" w:lineRule="auto"/>
        <w:ind w:firstLine="480" w:firstLineChars="200"/>
        <w:rPr>
          <w:rFonts w:ascii="宋体" w:hAnsi="宋体" w:cs="黑体"/>
          <w:bCs/>
          <w:kern w:val="44"/>
          <w:sz w:val="24"/>
        </w:rPr>
      </w:pPr>
      <w:r>
        <w:rPr>
          <w:rFonts w:ascii="宋体" w:hAnsi="宋体" w:cs="仿宋"/>
          <w:bCs/>
          <w:sz w:val="24"/>
        </w:rPr>
        <w:t>5</w:t>
      </w:r>
      <w:r>
        <w:rPr>
          <w:rFonts w:hint="eastAsia" w:ascii="宋体" w:hAnsi="宋体" w:cs="仿宋"/>
          <w:bCs/>
          <w:sz w:val="24"/>
        </w:rPr>
        <w:t>、从蔬菜形态看，应尽量避免由于客观因素而造成的各种非正常、不新鲜的蔬菜，例如萎蔫、枯塌、损伤、病变、虫害侵蚀等引起的形态异常等。</w:t>
      </w:r>
    </w:p>
    <w:p>
      <w:pPr>
        <w:spacing w:line="360" w:lineRule="auto"/>
        <w:ind w:firstLine="480" w:firstLineChars="200"/>
        <w:rPr>
          <w:rFonts w:ascii="宋体" w:hAnsi="宋体" w:cs="黑体"/>
          <w:bCs/>
          <w:kern w:val="44"/>
          <w:sz w:val="24"/>
        </w:rPr>
      </w:pPr>
      <w:r>
        <w:rPr>
          <w:rFonts w:hint="eastAsia" w:ascii="宋体" w:hAnsi="宋体" w:cs="黑体"/>
          <w:bCs/>
          <w:kern w:val="44"/>
          <w:sz w:val="24"/>
        </w:rPr>
        <w:t>（二）畜禽肉</w:t>
      </w:r>
    </w:p>
    <w:p>
      <w:pPr>
        <w:spacing w:line="360" w:lineRule="auto"/>
        <w:ind w:firstLine="480" w:firstLineChars="200"/>
        <w:rPr>
          <w:rFonts w:ascii="宋体" w:hAnsi="宋体" w:cs="仿宋"/>
          <w:bCs/>
          <w:sz w:val="24"/>
        </w:rPr>
      </w:pPr>
      <w:r>
        <w:rPr>
          <w:rFonts w:hint="eastAsia" w:ascii="宋体" w:hAnsi="宋体" w:cs="仿宋"/>
          <w:bCs/>
          <w:sz w:val="24"/>
        </w:rPr>
        <w:t>1、畜禽肉类需具有《营业执照》、《食品经营许可证》或《食品生产许可证》或《定点屠宰证》、《动物防疫合格证》。</w:t>
      </w:r>
    </w:p>
    <w:p>
      <w:pPr>
        <w:spacing w:line="360" w:lineRule="auto"/>
        <w:ind w:firstLine="480" w:firstLineChars="200"/>
        <w:rPr>
          <w:rFonts w:ascii="宋体" w:hAnsi="宋体" w:cs="仿宋"/>
          <w:bCs/>
          <w:sz w:val="24"/>
        </w:rPr>
      </w:pPr>
      <w:r>
        <w:rPr>
          <w:rFonts w:ascii="宋体" w:hAnsi="宋体" w:cs="仿宋"/>
          <w:bCs/>
          <w:sz w:val="24"/>
        </w:rPr>
        <w:t>2</w:t>
      </w:r>
      <w:r>
        <w:rPr>
          <w:rFonts w:hint="eastAsia" w:ascii="宋体" w:hAnsi="宋体" w:cs="仿宋"/>
          <w:bCs/>
          <w:sz w:val="24"/>
        </w:rPr>
        <w:t>、新鲜肉脂肪结白，肌肉有光泽，红色均匀，外表微干或微湿润，用手指压在瘦肉上的凹陷能立即恢复，弹性好，且有鲜肉特有的正常气味；冰冻肉品必须有完整包装，生产厂家、日期、品名等标识清楚，出成率90%以上。包装需采用适用的一次性包装方式，无明显渗水。与招标文件要求的品质相符。肉类、鲜活类、水产品：必须从正规肉联厂购买新鲜肉食、鲜活类及海产品，必须有正规卫生防疫检疫部门的盖章标志，有厂家提供的卫生防疫证明，严禁从无正规手续、黑市、肉贩子手中购买病、死等牲畜。冻品的可用保质期（以送达之日起计算）不得少于2/3有效期天数，进口冻品可用保质期不得少于1/2有效期天数。</w:t>
      </w:r>
    </w:p>
    <w:p>
      <w:pPr>
        <w:spacing w:line="360" w:lineRule="auto"/>
        <w:ind w:firstLine="480" w:firstLineChars="200"/>
        <w:rPr>
          <w:rFonts w:ascii="宋体" w:hAnsi="宋体" w:cs="黑体"/>
          <w:bCs/>
          <w:kern w:val="44"/>
          <w:sz w:val="24"/>
        </w:rPr>
      </w:pPr>
      <w:r>
        <w:rPr>
          <w:rFonts w:hint="eastAsia" w:ascii="宋体" w:hAnsi="宋体" w:cs="仿宋"/>
          <w:bCs/>
          <w:sz w:val="24"/>
        </w:rPr>
        <w:t>（三）水产品</w:t>
      </w:r>
    </w:p>
    <w:p>
      <w:pPr>
        <w:spacing w:line="360" w:lineRule="auto"/>
        <w:ind w:firstLine="480" w:firstLineChars="200"/>
        <w:rPr>
          <w:rFonts w:ascii="宋体" w:hAnsi="宋体" w:cs="黑体"/>
          <w:bCs/>
          <w:kern w:val="44"/>
          <w:sz w:val="24"/>
        </w:rPr>
      </w:pPr>
      <w:r>
        <w:rPr>
          <w:rFonts w:hint="eastAsia" w:ascii="宋体" w:hAnsi="宋体" w:cs="仿宋"/>
          <w:bCs/>
          <w:sz w:val="24"/>
        </w:rPr>
        <w:t>水产品属同一品种规格，肉质鲜嫩形态好，色泽正常。塘鱼类：罗非鱼、草鱼、鳊鱼、鳙鱼、鲢鱼等。鱼体健康，体态匀称，游动活泼，体色鲜明，体表光滑，眼睛亮丽，鳞片鳍条完好。冻品的可用保质期（以送达之日起计算）不得少于2/3有效期天数，进口冻品可用保质期不得少于1/2有效期天数，供应商能够按照厨房要求加工宰杀洗净并入库。</w:t>
      </w:r>
    </w:p>
    <w:p>
      <w:pPr>
        <w:spacing w:line="360" w:lineRule="auto"/>
        <w:ind w:firstLine="480" w:firstLineChars="200"/>
        <w:rPr>
          <w:rFonts w:ascii="宋体" w:hAnsi="宋体" w:cs="黑体"/>
          <w:bCs/>
          <w:kern w:val="44"/>
          <w:sz w:val="24"/>
        </w:rPr>
      </w:pPr>
      <w:r>
        <w:rPr>
          <w:rFonts w:hint="eastAsia" w:ascii="宋体" w:hAnsi="宋体" w:cs="黑体"/>
          <w:bCs/>
          <w:kern w:val="44"/>
          <w:sz w:val="24"/>
        </w:rPr>
        <w:t>（四）干货调味品</w:t>
      </w:r>
    </w:p>
    <w:p>
      <w:pPr>
        <w:spacing w:line="360" w:lineRule="auto"/>
        <w:ind w:firstLine="480" w:firstLineChars="200"/>
        <w:rPr>
          <w:rFonts w:ascii="宋体" w:hAnsi="宋体" w:cs="黑体"/>
          <w:bCs/>
          <w:kern w:val="44"/>
          <w:sz w:val="24"/>
        </w:rPr>
      </w:pPr>
      <w:r>
        <w:rPr>
          <w:rFonts w:hint="eastAsia" w:ascii="宋体" w:hAnsi="宋体" w:cs="黑体"/>
          <w:bCs/>
          <w:kern w:val="44"/>
          <w:sz w:val="24"/>
        </w:rPr>
        <w:t>1、调料、干货是餐饮服务的基础材料，必须符合国家质量标准，具有产品检验合格证和卫生许可证，无杂质、无霉变、无异味，保质保量、足斤足称。内外包装完整并标有生产日期及保质期，内外包装显示信息须一致，且剩余保质期（自送达之日起计算）不得少于产品保质期的2/3。</w:t>
      </w:r>
    </w:p>
    <w:p>
      <w:pPr>
        <w:spacing w:line="360" w:lineRule="auto"/>
        <w:ind w:firstLine="480" w:firstLineChars="200"/>
        <w:rPr>
          <w:rFonts w:ascii="宋体" w:hAnsi="宋体" w:cs="黑体"/>
          <w:bCs/>
          <w:kern w:val="44"/>
          <w:sz w:val="24"/>
        </w:rPr>
      </w:pPr>
      <w:r>
        <w:rPr>
          <w:rFonts w:hint="eastAsia" w:ascii="宋体" w:hAnsi="宋体" w:cs="黑体"/>
          <w:bCs/>
          <w:kern w:val="44"/>
          <w:sz w:val="24"/>
        </w:rPr>
        <w:t xml:space="preserve">2、必须从正规的商场、超市、以及调料专业机构购买，符合采购方提出的标准，符合国家质量检疫部门的相关要求。 </w:t>
      </w:r>
    </w:p>
    <w:p>
      <w:pPr>
        <w:spacing w:line="360" w:lineRule="auto"/>
        <w:ind w:firstLine="480" w:firstLineChars="200"/>
        <w:rPr>
          <w:rFonts w:ascii="宋体" w:hAnsi="宋体" w:cs="黑体"/>
          <w:bCs/>
          <w:kern w:val="44"/>
          <w:sz w:val="24"/>
        </w:rPr>
      </w:pPr>
      <w:r>
        <w:rPr>
          <w:rFonts w:hint="eastAsia" w:ascii="宋体" w:hAnsi="宋体" w:cs="黑体"/>
          <w:bCs/>
          <w:kern w:val="44"/>
          <w:sz w:val="24"/>
        </w:rPr>
        <w:t>3、对照合同检查所送物资品牌、规格是否符合要求，对有包装的食品，检查包装是否完整，有无破损，查看食品包装标签应符合《食品安全国家标准 预包装食品标签通则》、强制标示内容：包括食品名称、配料表、净含量、规格、生产者（或）经销者的名称、地址和联系方式、生产日期和保质期、贮存条件、食品生产许可证编号、产品标准代号、质量（品质）等级等内容，对实行食品质量（SC）安全市场准入制的食品，还应检查SC标志及 SC代码。</w:t>
      </w:r>
    </w:p>
    <w:p>
      <w:pPr>
        <w:spacing w:line="360" w:lineRule="auto"/>
        <w:ind w:firstLine="480" w:firstLineChars="200"/>
        <w:rPr>
          <w:rFonts w:ascii="宋体" w:hAnsi="宋体" w:cs="黑体"/>
          <w:bCs/>
          <w:kern w:val="44"/>
          <w:sz w:val="24"/>
        </w:rPr>
      </w:pPr>
      <w:r>
        <w:rPr>
          <w:rFonts w:hint="eastAsia" w:ascii="宋体" w:hAnsi="宋体" w:cs="黑体"/>
          <w:bCs/>
          <w:kern w:val="44"/>
          <w:sz w:val="24"/>
        </w:rPr>
        <w:t>4、目前国家实行食品质量（SC）安全市场准入制的食品共 28 类：大米、小麦粉、酱油、醋、食用植物油、肉制品、乳制品、饮料、味精、方便面、饼干、罐头食品、冷冻饮品、速冻面米食品、膨化食品、糖果制品、茶叶、葡萄酒、果酒、啤酒、黄酒、酱腌菜、蜜饯、炒货食品、蛋制品、可可制品、水产加工品、淀粉及淀粉制品（包括粉丝、粉条）。</w:t>
      </w:r>
    </w:p>
    <w:p>
      <w:pPr>
        <w:spacing w:line="360" w:lineRule="auto"/>
        <w:ind w:firstLine="480" w:firstLineChars="200"/>
        <w:rPr>
          <w:rFonts w:ascii="宋体" w:hAnsi="宋体" w:cs="黑体"/>
          <w:bCs/>
          <w:kern w:val="44"/>
          <w:sz w:val="24"/>
        </w:rPr>
      </w:pPr>
      <w:r>
        <w:rPr>
          <w:rFonts w:hint="eastAsia" w:ascii="宋体" w:hAnsi="宋体" w:cs="黑体"/>
          <w:bCs/>
          <w:kern w:val="44"/>
          <w:sz w:val="24"/>
        </w:rPr>
        <w:t>5、通过食品质量感官鉴别包装内产品及无包装产品，依靠视觉、嗅觉、味觉、触觉等鉴定食品的外观形态、色泽、气味、滋味和硬度（稠度）是否符合质量要求。</w:t>
      </w:r>
    </w:p>
    <w:p>
      <w:pPr>
        <w:tabs>
          <w:tab w:val="left" w:pos="180"/>
          <w:tab w:val="left" w:pos="567"/>
          <w:tab w:val="left" w:pos="1620"/>
        </w:tabs>
        <w:spacing w:line="360" w:lineRule="auto"/>
        <w:ind w:firstLine="480" w:firstLineChars="200"/>
        <w:rPr>
          <w:rFonts w:ascii="宋体" w:hAnsi="宋体"/>
          <w:bCs/>
          <w:sz w:val="24"/>
        </w:rPr>
      </w:pPr>
      <w:r>
        <w:rPr>
          <w:rFonts w:hint="eastAsia" w:ascii="宋体" w:hAnsi="宋体"/>
          <w:bCs/>
          <w:sz w:val="24"/>
        </w:rPr>
        <w:t>二、产品具体要求：</w:t>
      </w:r>
    </w:p>
    <w:p>
      <w:pPr>
        <w:spacing w:line="360" w:lineRule="auto"/>
        <w:ind w:firstLine="480" w:firstLineChars="200"/>
        <w:rPr>
          <w:rFonts w:ascii="宋体" w:hAnsi="宋体"/>
          <w:bCs/>
          <w:sz w:val="24"/>
        </w:rPr>
      </w:pPr>
      <w:r>
        <w:rPr>
          <w:rFonts w:hint="eastAsia" w:ascii="宋体" w:hAnsi="宋体"/>
          <w:bCs/>
          <w:sz w:val="24"/>
        </w:rPr>
        <w:t>（一）蔬菜</w:t>
      </w:r>
    </w:p>
    <w:p>
      <w:pPr>
        <w:spacing w:line="360" w:lineRule="auto"/>
        <w:ind w:firstLine="480" w:firstLineChars="200"/>
        <w:rPr>
          <w:rFonts w:ascii="宋体" w:hAnsi="宋体" w:cs="仿宋"/>
          <w:bCs/>
          <w:sz w:val="24"/>
        </w:rPr>
      </w:pPr>
      <w:r>
        <w:rPr>
          <w:rFonts w:hint="eastAsia" w:ascii="宋体" w:hAnsi="宋体" w:cs="仿宋"/>
          <w:bCs/>
          <w:sz w:val="24"/>
        </w:rPr>
        <w:t>1、叶菜类：生菜、白菜、通心菜、苋菜等绿叶菜类及大白菜、椰菜等普通叶菜。属同一品种规格，肉质鲜嫩形态好，色泽正常，茎基部削平，无枯黄叶、病叶、泥土、明显机械伤和病虫害伤，无烧心焦边、腐烂等现象，无异味，结球叶菜要结球适度。</w:t>
      </w:r>
    </w:p>
    <w:p>
      <w:pPr>
        <w:spacing w:line="360" w:lineRule="auto"/>
        <w:ind w:firstLine="480" w:firstLineChars="200"/>
        <w:rPr>
          <w:rFonts w:ascii="宋体" w:hAnsi="宋体" w:cs="仿宋"/>
          <w:bCs/>
          <w:sz w:val="24"/>
        </w:rPr>
      </w:pPr>
      <w:r>
        <w:rPr>
          <w:rFonts w:hint="eastAsia" w:ascii="宋体" w:hAnsi="宋体" w:cs="仿宋"/>
          <w:bCs/>
          <w:sz w:val="24"/>
        </w:rPr>
        <w:t>2、茄果类：西红柿、茄瓜、尖椒、长茄子、圆椒、辣椒等，属于同一品种规格，须色泽鲜艳、果实圆整、光洁，成熟度适中、整齐，无烂果、异味、病虫和明显机械损伤。果实整洁，成熟度适中，无裂果及空洞现象，茄果不能有裂蒂及果皮变硬现象，无腐烂、异味，无明显机械伤。</w:t>
      </w:r>
    </w:p>
    <w:p>
      <w:pPr>
        <w:spacing w:line="360" w:lineRule="auto"/>
        <w:ind w:firstLine="480" w:firstLineChars="200"/>
        <w:rPr>
          <w:rFonts w:ascii="宋体" w:hAnsi="宋体" w:cs="仿宋"/>
          <w:bCs/>
          <w:sz w:val="24"/>
        </w:rPr>
      </w:pPr>
      <w:r>
        <w:rPr>
          <w:rFonts w:hint="eastAsia" w:ascii="宋体" w:hAnsi="宋体" w:cs="仿宋"/>
          <w:bCs/>
          <w:sz w:val="24"/>
        </w:rPr>
        <w:t>3、瓜果类：黄瓜、青瓜冬瓜、丝瓜、苦瓜、南瓜、佛手瓜等。属同一品种规格，色泽一致，无疤点，无断裂，无腐烂、异味、明显机械伤，不带泥土瓜条均匀，无畸形瓜、虫害、烂瓜，无明显机械伤。</w:t>
      </w:r>
    </w:p>
    <w:p>
      <w:pPr>
        <w:spacing w:line="360" w:lineRule="auto"/>
        <w:ind w:firstLine="480" w:firstLineChars="200"/>
        <w:rPr>
          <w:rFonts w:ascii="宋体" w:hAnsi="宋体" w:cs="仿宋"/>
          <w:bCs/>
          <w:sz w:val="24"/>
        </w:rPr>
      </w:pPr>
      <w:r>
        <w:rPr>
          <w:rFonts w:hint="eastAsia" w:ascii="宋体" w:hAnsi="宋体" w:cs="仿宋"/>
          <w:bCs/>
          <w:sz w:val="24"/>
        </w:rPr>
        <w:t>4、根菜类：萝卜、胡萝卜等。属同一品种规格，皮细光滑，肉质脆嫩致密新鲜，无腐烂、裂痕、糠心、异味，不带泥沙，不带茎叶和须根。</w:t>
      </w:r>
    </w:p>
    <w:p>
      <w:pPr>
        <w:spacing w:line="360" w:lineRule="auto"/>
        <w:ind w:firstLine="480" w:firstLineChars="200"/>
        <w:rPr>
          <w:rFonts w:ascii="宋体" w:hAnsi="宋体" w:cs="仿宋"/>
          <w:bCs/>
          <w:sz w:val="24"/>
        </w:rPr>
      </w:pPr>
      <w:r>
        <w:rPr>
          <w:rFonts w:hint="eastAsia" w:ascii="宋体" w:hAnsi="宋体" w:cs="仿宋"/>
          <w:bCs/>
          <w:sz w:val="24"/>
        </w:rPr>
        <w:t>5、薯芋类：包括马铃薯、香芋、姜、豆薯等，属同一品种规格，色泽一致，不带泥沙，不带茎叶、须根，无机械伤和病虫害斑，无腐烂、干瘪。马铃薯不发软、不长芽、不腐烂，表皮未出现绿色。</w:t>
      </w:r>
    </w:p>
    <w:p>
      <w:pPr>
        <w:spacing w:line="360" w:lineRule="auto"/>
        <w:ind w:firstLine="480" w:firstLineChars="200"/>
        <w:rPr>
          <w:rFonts w:ascii="宋体" w:hAnsi="宋体" w:cs="仿宋"/>
          <w:bCs/>
          <w:sz w:val="24"/>
        </w:rPr>
      </w:pPr>
      <w:r>
        <w:rPr>
          <w:rFonts w:hint="eastAsia" w:ascii="宋体" w:hAnsi="宋体" w:cs="仿宋"/>
          <w:bCs/>
          <w:sz w:val="24"/>
        </w:rPr>
        <w:t>6、葱蒜类：葱、蒜、韭菜、洋葱等。属同一品种规格，允许葱、青蒜类保留干净须根，葱、蒜、韭菜不带老叶，蒜头、洋葱去根去枯叶，可食部分新鲜幼嫩，无腐烂、异味。</w:t>
      </w:r>
    </w:p>
    <w:p>
      <w:pPr>
        <w:spacing w:line="360" w:lineRule="auto"/>
        <w:ind w:firstLine="480" w:firstLineChars="200"/>
        <w:rPr>
          <w:rFonts w:ascii="宋体" w:hAnsi="宋体" w:cs="仿宋"/>
          <w:bCs/>
          <w:sz w:val="24"/>
        </w:rPr>
      </w:pPr>
      <w:r>
        <w:rPr>
          <w:rFonts w:hint="eastAsia" w:ascii="宋体" w:hAnsi="宋体" w:cs="仿宋"/>
          <w:bCs/>
          <w:sz w:val="24"/>
        </w:rPr>
        <w:t>7、水生菜类：藕、慈菇、茭白、马蹄、菱等。属同一品种规格，肉质嫩，成熟度适中，无腐烂、异味，无明显机械伤，不带泥土和杂质，不干瘪，茭白不黑心。多年生类包括竹笋，属同一品种规格，笋体幼嫩，无病虫害斑，无明显机械伤。</w:t>
      </w:r>
    </w:p>
    <w:p>
      <w:pPr>
        <w:spacing w:line="360" w:lineRule="auto"/>
        <w:ind w:firstLine="480" w:firstLineChars="200"/>
        <w:rPr>
          <w:rFonts w:ascii="宋体" w:hAnsi="宋体" w:cs="仿宋"/>
          <w:bCs/>
          <w:sz w:val="24"/>
        </w:rPr>
      </w:pPr>
      <w:r>
        <w:rPr>
          <w:rFonts w:hint="eastAsia" w:ascii="宋体" w:hAnsi="宋体" w:cs="仿宋"/>
          <w:bCs/>
          <w:sz w:val="24"/>
        </w:rPr>
        <w:t>8、芽苗类：绿豆芽、黄豆芽等。芽苗幼嫩，不带豆壳杂质，新鲜，不浸水，无腐烂、异味。</w:t>
      </w:r>
    </w:p>
    <w:p>
      <w:pPr>
        <w:spacing w:line="360" w:lineRule="auto"/>
        <w:ind w:firstLine="480" w:firstLineChars="200"/>
        <w:rPr>
          <w:rFonts w:ascii="宋体" w:hAnsi="宋体" w:cs="仿宋"/>
          <w:bCs/>
          <w:sz w:val="24"/>
        </w:rPr>
      </w:pPr>
      <w:r>
        <w:rPr>
          <w:rFonts w:hint="eastAsia" w:ascii="宋体" w:hAnsi="宋体" w:cs="仿宋"/>
          <w:bCs/>
          <w:sz w:val="24"/>
        </w:rPr>
        <w:t>9、香辛类：西芹、芹菜、香菜等。</w:t>
      </w:r>
    </w:p>
    <w:p>
      <w:pPr>
        <w:spacing w:line="360" w:lineRule="auto"/>
        <w:ind w:firstLine="480" w:firstLineChars="200"/>
        <w:rPr>
          <w:rFonts w:ascii="宋体" w:hAnsi="宋体" w:cs="仿宋"/>
          <w:bCs/>
          <w:sz w:val="24"/>
        </w:rPr>
      </w:pPr>
      <w:r>
        <w:rPr>
          <w:rFonts w:hint="eastAsia" w:ascii="宋体" w:hAnsi="宋体" w:cs="仿宋"/>
          <w:bCs/>
          <w:sz w:val="24"/>
        </w:rPr>
        <w:t>1</w:t>
      </w:r>
      <w:r>
        <w:rPr>
          <w:rFonts w:ascii="宋体" w:hAnsi="宋体" w:cs="仿宋"/>
          <w:bCs/>
          <w:sz w:val="24"/>
        </w:rPr>
        <w:t>0</w:t>
      </w:r>
      <w:r>
        <w:rPr>
          <w:rFonts w:hint="eastAsia" w:ascii="宋体" w:hAnsi="宋体" w:cs="仿宋"/>
          <w:bCs/>
          <w:sz w:val="24"/>
        </w:rPr>
        <w:t>、叶菜类：包括白菜类和绿叶菜类的各种蔬菜，属同一品种规格，须肉质鲜嫩、形态好、色泽正常；无枯黄叶、病叶、泥土、无明显机械伤和病虫害伤；无烧心焦边、腐烂等现象，无抽蔫（菜心除外）；菠菜和本地芹菜可带根。花椰菜、青花菜属于同一品种，形状正常，肉质细密，新鲜，无腐烂、病虫害、机械伤；花椰菜花球洁白、无毛花；青花菜无托叶，可带主茎，花球青绿色、无紫花、无枯萎现象。</w:t>
      </w:r>
    </w:p>
    <w:p>
      <w:pPr>
        <w:spacing w:line="360" w:lineRule="auto"/>
        <w:ind w:firstLine="480" w:firstLineChars="200"/>
        <w:rPr>
          <w:rFonts w:ascii="宋体" w:hAnsi="宋体" w:cs="仿宋"/>
          <w:bCs/>
          <w:sz w:val="24"/>
        </w:rPr>
      </w:pPr>
      <w:r>
        <w:rPr>
          <w:rFonts w:ascii="宋体" w:hAnsi="宋体" w:cs="仿宋"/>
          <w:bCs/>
          <w:sz w:val="24"/>
        </w:rPr>
        <w:t>11</w:t>
      </w:r>
      <w:r>
        <w:rPr>
          <w:rFonts w:hint="eastAsia" w:ascii="宋体" w:hAnsi="宋体" w:cs="仿宋"/>
          <w:bCs/>
          <w:sz w:val="24"/>
        </w:rPr>
        <w:t>、豆类：包括荷兰豆、四季豆、豆角、扁豆等，属同一品种规格，形态完整，成熟度适中，无病虫害斑。</w:t>
      </w:r>
    </w:p>
    <w:p>
      <w:pPr>
        <w:spacing w:line="360" w:lineRule="auto"/>
        <w:ind w:firstLine="480" w:firstLineChars="200"/>
        <w:rPr>
          <w:rFonts w:ascii="宋体" w:hAnsi="宋体" w:cs="仿宋"/>
          <w:bCs/>
          <w:sz w:val="24"/>
        </w:rPr>
      </w:pPr>
      <w:r>
        <w:rPr>
          <w:rFonts w:ascii="宋体" w:hAnsi="宋体" w:cs="仿宋"/>
          <w:bCs/>
          <w:sz w:val="24"/>
        </w:rPr>
        <w:t>12</w:t>
      </w:r>
      <w:r>
        <w:rPr>
          <w:rFonts w:hint="eastAsia" w:ascii="宋体" w:hAnsi="宋体" w:cs="仿宋"/>
          <w:bCs/>
          <w:sz w:val="24"/>
        </w:rPr>
        <w:t>、食豆仁类：籽粒饱满较均匀，无发芽，不带泥士、杂质。</w:t>
      </w:r>
    </w:p>
    <w:p>
      <w:pPr>
        <w:spacing w:line="360" w:lineRule="auto"/>
        <w:ind w:firstLine="480" w:firstLineChars="200"/>
        <w:rPr>
          <w:rFonts w:ascii="宋体" w:hAnsi="宋体"/>
          <w:bCs/>
          <w:sz w:val="24"/>
        </w:rPr>
      </w:pPr>
      <w:r>
        <w:rPr>
          <w:rFonts w:ascii="宋体" w:hAnsi="宋体" w:cs="仿宋"/>
          <w:bCs/>
          <w:sz w:val="24"/>
        </w:rPr>
        <w:t>13</w:t>
      </w:r>
      <w:r>
        <w:rPr>
          <w:rFonts w:hint="eastAsia" w:ascii="宋体" w:hAnsi="宋体" w:cs="仿宋"/>
          <w:bCs/>
          <w:sz w:val="24"/>
        </w:rPr>
        <w:t>、鲜菌类：菌体外观完整新鲜、薄厚均匀、湿润饱满，无异味、无霉变、无腐烂，根茎比例正常。</w:t>
      </w:r>
    </w:p>
    <w:p>
      <w:pPr>
        <w:spacing w:line="360" w:lineRule="auto"/>
        <w:ind w:firstLine="480" w:firstLineChars="200"/>
        <w:rPr>
          <w:rFonts w:ascii="宋体" w:hAnsi="宋体"/>
          <w:bCs/>
          <w:sz w:val="24"/>
        </w:rPr>
      </w:pPr>
      <w:r>
        <w:rPr>
          <w:rFonts w:hint="eastAsia" w:ascii="宋体" w:hAnsi="宋体"/>
          <w:bCs/>
          <w:sz w:val="24"/>
        </w:rPr>
        <w:t>（二）</w:t>
      </w:r>
      <w:r>
        <w:rPr>
          <w:rFonts w:hint="eastAsia" w:ascii="宋体" w:hAnsi="宋体" w:cs="黑体"/>
          <w:bCs/>
          <w:kern w:val="44"/>
          <w:sz w:val="24"/>
        </w:rPr>
        <w:t>畜禽肉</w:t>
      </w:r>
    </w:p>
    <w:p>
      <w:pPr>
        <w:spacing w:line="360" w:lineRule="auto"/>
        <w:ind w:firstLine="480" w:firstLineChars="200"/>
        <w:rPr>
          <w:rFonts w:ascii="宋体" w:hAnsi="宋体" w:cs="仿宋"/>
          <w:bCs/>
          <w:sz w:val="24"/>
        </w:rPr>
      </w:pPr>
      <w:r>
        <w:rPr>
          <w:rFonts w:hint="eastAsia" w:ascii="宋体" w:hAnsi="宋体" w:cs="仿宋"/>
          <w:bCs/>
          <w:sz w:val="24"/>
        </w:rPr>
        <w:t>A</w:t>
      </w:r>
      <w:r>
        <w:rPr>
          <w:rFonts w:ascii="宋体" w:hAnsi="宋体" w:cs="仿宋"/>
          <w:bCs/>
          <w:sz w:val="24"/>
        </w:rPr>
        <w:t>.</w:t>
      </w:r>
      <w:r>
        <w:rPr>
          <w:rFonts w:hint="eastAsia" w:ascii="宋体" w:hAnsi="宋体" w:cs="仿宋"/>
          <w:bCs/>
          <w:sz w:val="24"/>
        </w:rPr>
        <w:t>鲜猪肉质量标准：</w:t>
      </w:r>
    </w:p>
    <w:p>
      <w:pPr>
        <w:spacing w:line="360" w:lineRule="auto"/>
        <w:ind w:firstLine="480" w:firstLineChars="200"/>
        <w:rPr>
          <w:rFonts w:ascii="宋体" w:hAnsi="宋体" w:cs="仿宋"/>
          <w:bCs/>
          <w:sz w:val="24"/>
        </w:rPr>
      </w:pPr>
      <w:r>
        <w:rPr>
          <w:rFonts w:hint="eastAsia" w:ascii="宋体" w:hAnsi="宋体" w:cs="仿宋"/>
          <w:bCs/>
          <w:sz w:val="24"/>
        </w:rPr>
        <w:t>1、总体要求</w:t>
      </w:r>
    </w:p>
    <w:p>
      <w:pPr>
        <w:spacing w:line="360" w:lineRule="auto"/>
        <w:ind w:firstLine="480" w:firstLineChars="200"/>
        <w:rPr>
          <w:rFonts w:ascii="宋体" w:hAnsi="宋体" w:cs="仿宋"/>
          <w:bCs/>
          <w:sz w:val="24"/>
        </w:rPr>
      </w:pPr>
      <w:r>
        <w:rPr>
          <w:rFonts w:hint="eastAsia" w:ascii="宋体" w:hAnsi="宋体" w:cs="仿宋"/>
          <w:bCs/>
          <w:sz w:val="24"/>
        </w:rPr>
        <w:t>（1）白条猪肥膘厚度以第六与第七根肋骨之间平行至脊背皮内不超过 1cm 为测量标准，良杂一级猪不超过 1.5cm。</w:t>
      </w:r>
    </w:p>
    <w:p>
      <w:pPr>
        <w:spacing w:line="360" w:lineRule="auto"/>
        <w:ind w:firstLine="480" w:firstLineChars="200"/>
        <w:rPr>
          <w:rFonts w:ascii="宋体" w:hAnsi="宋体" w:cs="仿宋"/>
          <w:bCs/>
          <w:sz w:val="24"/>
        </w:rPr>
      </w:pPr>
      <w:r>
        <w:rPr>
          <w:rFonts w:hint="eastAsia" w:ascii="宋体" w:hAnsi="宋体" w:cs="仿宋"/>
          <w:bCs/>
          <w:sz w:val="24"/>
        </w:rPr>
        <w:t>（2）猪边体表无明显伤痕，无片状猪毛，后腿部盖有“良”或“特”字级别印章，并盖有“合格”椭圆开印章或宽长条肉检合格验讫印章。</w:t>
      </w:r>
    </w:p>
    <w:p>
      <w:pPr>
        <w:spacing w:line="360" w:lineRule="auto"/>
        <w:ind w:firstLine="480" w:firstLineChars="200"/>
        <w:rPr>
          <w:rFonts w:ascii="宋体" w:hAnsi="宋体" w:cs="仿宋"/>
          <w:bCs/>
          <w:sz w:val="24"/>
        </w:rPr>
      </w:pPr>
      <w:r>
        <w:rPr>
          <w:rFonts w:hint="eastAsia" w:ascii="宋体" w:hAnsi="宋体" w:cs="仿宋"/>
          <w:bCs/>
          <w:sz w:val="24"/>
        </w:rPr>
        <w:t>（3）呈鲜红色，有光泽，脂肪洁白，肉的外表微干或微湿润，不粘手，指压后凹陷立即恢复，具有新鲜猪肉的正常气味。无泥污，血污，肉边整齐，无碎肉，碎骨，按标准部位分割，精肉无多余脂肪。</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2、具体要求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（1）五花肉片：3.5mm厚*5cm长；五花肉丁：1cm见方；五花肉条（梅菜扣肉）：15cm长*7cm宽；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（2）四号肉丝：9cm长*0.4cm宽；四号肉片：5cm长*3cm宽*2.8mm厚；四号肉丁：1.3cm见方；</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（3）米粉肉肉片：7cm长*5mm厚；梅肉条：5cm*1.2cm；红烧肉块：2cm*2cm；卤肉块：1.5cm*1.5cm；肉方：4.7cm*4.7cm；</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（4）排骨块：5cm长；腔骨：2.5cm宽；猪蹄：4cm-5cm/块；</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（5）精五花：肉方6cm*6cm、肉片4mm厚、肉丁6*6mm，肉呈均匀的红色，有光泽，肉质紧密，有坚实感，肉的外表及切面微湿润，不粘手；</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（6）纯排骨：寸断为3.3-3.4cm长的块、大小均匀、搅拌均匀，肉体冻实而坚硬，敲之回音清脆，无化冻现象；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（7）四号肉：肉丝3-4mm粗、肉片2-3mm厚、肉丁6*6mm，肉呈均匀的红色，有光泽，肉质紧密，有坚实感，肉的外表及切面微湿润，不粘手；</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（8）猪蹄：1整块切5刀成6小块，必须去除一切毛污物，无异味，交货以干净、新鲜、大小适合规格要求为标准；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（9）肉馅：以3：7、4：6、5：5、2：8精碎为原料。</w:t>
      </w:r>
    </w:p>
    <w:p>
      <w:pPr>
        <w:spacing w:line="360" w:lineRule="auto"/>
        <w:ind w:firstLine="480" w:firstLineChars="200"/>
        <w:rPr>
          <w:rFonts w:ascii="宋体" w:hAnsi="宋体"/>
          <w:bCs/>
          <w:sz w:val="24"/>
        </w:rPr>
      </w:pPr>
      <w:r>
        <w:rPr>
          <w:rFonts w:hint="eastAsia" w:ascii="宋体" w:hAnsi="宋体" w:cs="仿宋"/>
          <w:bCs/>
          <w:sz w:val="24"/>
        </w:rPr>
        <w:t>供方需在北京市范围内具有合作的或设有履行合同所必需的肉联厂和生猪屠宰场。</w:t>
      </w:r>
    </w:p>
    <w:p>
      <w:pPr>
        <w:spacing w:line="360" w:lineRule="auto"/>
        <w:ind w:firstLine="480" w:firstLineChars="200"/>
        <w:rPr>
          <w:rFonts w:ascii="宋体" w:hAnsi="宋体"/>
          <w:bCs/>
          <w:sz w:val="24"/>
        </w:rPr>
      </w:pPr>
      <w:r>
        <w:rPr>
          <w:rFonts w:hint="eastAsia" w:ascii="宋体" w:hAnsi="宋体"/>
          <w:bCs/>
          <w:sz w:val="24"/>
        </w:rPr>
        <w:t>以上规格仅供参考，实际规格以拿实物到厨房，现场切，现场定，现场验货物。所有肉类货品不能用调理肉，注水肉等，必须保质保量，按时到货，按食堂需求到货，按所要的数量到货。</w:t>
      </w:r>
    </w:p>
    <w:p>
      <w:pPr>
        <w:spacing w:line="360" w:lineRule="auto"/>
        <w:ind w:firstLine="480" w:firstLineChars="200"/>
        <w:rPr>
          <w:rFonts w:ascii="宋体" w:hAnsi="宋体" w:cs="仿宋"/>
          <w:bCs/>
          <w:sz w:val="24"/>
        </w:rPr>
      </w:pPr>
      <w:r>
        <w:rPr>
          <w:rFonts w:hint="eastAsia" w:ascii="宋体" w:hAnsi="宋体" w:cs="仿宋"/>
          <w:bCs/>
          <w:sz w:val="24"/>
        </w:rPr>
        <w:t>3、冻畜肉质量标准</w:t>
      </w:r>
    </w:p>
    <w:p>
      <w:pPr>
        <w:spacing w:line="360" w:lineRule="auto"/>
        <w:ind w:firstLine="480" w:firstLineChars="200"/>
        <w:rPr>
          <w:rFonts w:ascii="宋体" w:hAnsi="宋体"/>
          <w:bCs/>
          <w:sz w:val="24"/>
        </w:rPr>
      </w:pPr>
      <w:r>
        <w:rPr>
          <w:rFonts w:hint="eastAsia" w:ascii="宋体" w:hAnsi="宋体"/>
          <w:bCs/>
          <w:sz w:val="24"/>
        </w:rPr>
        <w:t>外表颜色比冷却肉鲜明，在表面切开处为浅玫瑰色至灰色，用手或热刀触之，立刻显示鲜红色。肉坚硬，像冰一样，敲击有响声。化冻时，有肉的正常味，略潮，没有熟肉味。脂肪猪为白色。肌腱为白色，石灰色。无杂质，无肌肉风干现象，无白、黄、绿斑、污血，过多冰衣，无白霜，按标准部位分割，外包装无破损，有生产日期。</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、猪内脏及各部位肉品质量标准</w:t>
      </w:r>
    </w:p>
    <w:p>
      <w:pPr>
        <w:spacing w:line="360" w:lineRule="auto"/>
        <w:ind w:firstLine="480" w:firstLineChars="200"/>
        <w:rPr>
          <w:rFonts w:ascii="宋体" w:hAnsi="宋体"/>
          <w:bCs/>
          <w:sz w:val="24"/>
        </w:rPr>
      </w:pPr>
      <w:r>
        <w:rPr>
          <w:rFonts w:hint="eastAsia" w:ascii="宋体" w:hAnsi="宋体"/>
          <w:bCs/>
          <w:sz w:val="24"/>
        </w:rPr>
        <w:t>（1）肠的质量需求标准</w:t>
      </w:r>
    </w:p>
    <w:p>
      <w:pPr>
        <w:spacing w:line="360" w:lineRule="auto"/>
        <w:ind w:firstLine="480" w:firstLineChars="200"/>
        <w:rPr>
          <w:rFonts w:ascii="宋体" w:hAnsi="宋体"/>
          <w:bCs/>
          <w:sz w:val="24"/>
        </w:rPr>
      </w:pPr>
      <w:r>
        <w:rPr>
          <w:rFonts w:hint="eastAsia" w:ascii="宋体" w:hAnsi="宋体"/>
          <w:bCs/>
          <w:sz w:val="24"/>
        </w:rPr>
        <w:t>乳白色，稍软，略带坚韧，外形完整，无变质异味，无炎症溃疡、瘀血、充血、水肿及其他病理现象，无肠头毛圈，脂肪内容物。</w:t>
      </w:r>
    </w:p>
    <w:p>
      <w:pPr>
        <w:spacing w:line="360" w:lineRule="auto"/>
        <w:ind w:firstLine="480" w:firstLineChars="200"/>
        <w:rPr>
          <w:rFonts w:ascii="宋体" w:hAnsi="宋体"/>
          <w:bCs/>
          <w:sz w:val="24"/>
        </w:rPr>
      </w:pPr>
      <w:r>
        <w:rPr>
          <w:rFonts w:hint="eastAsia" w:ascii="宋体" w:hAnsi="宋体"/>
          <w:bCs/>
          <w:sz w:val="24"/>
        </w:rPr>
        <w:t>（2）肚的质量需求标准</w:t>
      </w:r>
    </w:p>
    <w:p>
      <w:pPr>
        <w:spacing w:line="360" w:lineRule="auto"/>
        <w:ind w:firstLine="480" w:firstLineChars="200"/>
        <w:rPr>
          <w:rFonts w:ascii="宋体" w:hAnsi="宋体"/>
          <w:bCs/>
          <w:sz w:val="24"/>
        </w:rPr>
      </w:pPr>
      <w:r>
        <w:rPr>
          <w:rFonts w:hint="eastAsia" w:ascii="宋体" w:hAnsi="宋体"/>
          <w:bCs/>
          <w:sz w:val="24"/>
        </w:rPr>
        <w:t>乳白色，组织结实，无异味，外形完整，无溃疡及其他病变现象，无内容物，黏膜，脂肪，无瘀血肠头毛圈。</w:t>
      </w:r>
    </w:p>
    <w:p>
      <w:pPr>
        <w:spacing w:line="360" w:lineRule="auto"/>
        <w:ind w:firstLine="480" w:firstLineChars="200"/>
        <w:rPr>
          <w:rFonts w:ascii="宋体" w:hAnsi="宋体"/>
          <w:bCs/>
          <w:sz w:val="24"/>
        </w:rPr>
      </w:pPr>
      <w:r>
        <w:rPr>
          <w:rFonts w:hint="eastAsia" w:ascii="宋体" w:hAnsi="宋体"/>
          <w:bCs/>
          <w:sz w:val="24"/>
        </w:rPr>
        <w:t>（3）肾的质量需求标准</w:t>
      </w:r>
    </w:p>
    <w:p>
      <w:pPr>
        <w:spacing w:line="360" w:lineRule="auto"/>
        <w:ind w:firstLine="480" w:firstLineChars="200"/>
        <w:rPr>
          <w:rFonts w:ascii="宋体" w:hAnsi="宋体"/>
          <w:bCs/>
          <w:sz w:val="24"/>
        </w:rPr>
      </w:pPr>
      <w:r>
        <w:rPr>
          <w:rFonts w:hint="eastAsia" w:ascii="宋体" w:hAnsi="宋体"/>
          <w:bCs/>
          <w:sz w:val="24"/>
        </w:rPr>
        <w:t>淡褐色，有光泽，略有弹性，组织结实，外形完整，无脂肪和肾外膜，无炎症脓肿等病变，无异臭，无杂质。</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4</w:t>
      </w:r>
      <w:r>
        <w:rPr>
          <w:rFonts w:hint="eastAsia" w:ascii="宋体" w:hAnsi="宋体"/>
          <w:bCs/>
          <w:sz w:val="24"/>
        </w:rPr>
        <w:t>）肝的质量需求标准</w:t>
      </w:r>
    </w:p>
    <w:p>
      <w:pPr>
        <w:spacing w:line="360" w:lineRule="auto"/>
        <w:ind w:firstLine="480" w:firstLineChars="200"/>
        <w:rPr>
          <w:rFonts w:ascii="宋体" w:hAnsi="宋体"/>
          <w:bCs/>
          <w:sz w:val="24"/>
        </w:rPr>
      </w:pPr>
      <w:r>
        <w:rPr>
          <w:rFonts w:hint="eastAsia" w:ascii="宋体" w:hAnsi="宋体"/>
          <w:bCs/>
          <w:sz w:val="24"/>
        </w:rPr>
        <w:t>红褐色或棕黄色，有光泽，湿润，略有弹性，组织结实微密，肝叶完整，无脂肪，胆囊、胆管、无寄生虫、炎症水泡、薄膜，无胆汁污染，微有鱼腥味。</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5</w:t>
      </w:r>
      <w:r>
        <w:rPr>
          <w:rFonts w:hint="eastAsia" w:ascii="宋体" w:hAnsi="宋体"/>
          <w:bCs/>
          <w:sz w:val="24"/>
        </w:rPr>
        <w:t>）口条的质量需求标准</w:t>
      </w:r>
    </w:p>
    <w:p>
      <w:pPr>
        <w:spacing w:line="360" w:lineRule="auto"/>
        <w:ind w:firstLine="480" w:firstLineChars="200"/>
        <w:rPr>
          <w:rFonts w:ascii="宋体" w:hAnsi="宋体"/>
          <w:bCs/>
          <w:sz w:val="24"/>
        </w:rPr>
      </w:pPr>
      <w:r>
        <w:rPr>
          <w:rFonts w:hint="eastAsia" w:ascii="宋体" w:hAnsi="宋体"/>
          <w:bCs/>
          <w:sz w:val="24"/>
        </w:rPr>
        <w:t>品质新鲜，外形完整，无根附着的肌肉、舌骨、舌苔、脂肪、无病伤，无异物。</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6</w:t>
      </w:r>
      <w:r>
        <w:rPr>
          <w:rFonts w:hint="eastAsia" w:ascii="宋体" w:hAnsi="宋体"/>
          <w:bCs/>
          <w:sz w:val="24"/>
        </w:rPr>
        <w:t>）猪尾质量需求标准</w:t>
      </w:r>
    </w:p>
    <w:p>
      <w:pPr>
        <w:spacing w:line="360" w:lineRule="auto"/>
        <w:ind w:firstLine="480" w:firstLineChars="200"/>
        <w:rPr>
          <w:rFonts w:ascii="宋体" w:hAnsi="宋体"/>
          <w:bCs/>
          <w:sz w:val="24"/>
        </w:rPr>
      </w:pPr>
      <w:r>
        <w:rPr>
          <w:rFonts w:hint="eastAsia" w:ascii="宋体" w:hAnsi="宋体"/>
          <w:bCs/>
          <w:sz w:val="24"/>
        </w:rPr>
        <w:t>品质新鲜，去毛洁净，不带毛根或绒毛。</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、蹄筋质量需求标准</w:t>
      </w:r>
    </w:p>
    <w:p>
      <w:pPr>
        <w:spacing w:line="360" w:lineRule="auto"/>
        <w:ind w:firstLine="480" w:firstLineChars="200"/>
        <w:rPr>
          <w:rFonts w:ascii="宋体" w:hAnsi="宋体"/>
          <w:bCs/>
          <w:sz w:val="24"/>
        </w:rPr>
      </w:pPr>
      <w:r>
        <w:rPr>
          <w:rFonts w:hint="eastAsia" w:ascii="宋体" w:hAnsi="宋体"/>
          <w:bCs/>
          <w:sz w:val="24"/>
        </w:rPr>
        <w:t>品质新鲜，无色透明，表面光亮，无油脂，无精肉，无充血且顺直、干燥。</w:t>
      </w:r>
    </w:p>
    <w:p>
      <w:pPr>
        <w:spacing w:line="360" w:lineRule="auto"/>
        <w:ind w:firstLine="480" w:firstLineChars="200"/>
        <w:rPr>
          <w:rFonts w:ascii="宋体" w:hAnsi="宋体" w:cs="仿宋"/>
          <w:bCs/>
          <w:sz w:val="24"/>
        </w:rPr>
      </w:pPr>
      <w:r>
        <w:rPr>
          <w:rFonts w:hint="eastAsia" w:ascii="宋体" w:hAnsi="宋体" w:cs="仿宋"/>
          <w:bCs/>
          <w:sz w:val="24"/>
        </w:rPr>
        <w:t>B、鲜牛、羊肉质量标准：</w:t>
      </w:r>
    </w:p>
    <w:p>
      <w:pPr>
        <w:spacing w:line="360" w:lineRule="auto"/>
        <w:ind w:firstLine="480" w:firstLineChars="200"/>
        <w:rPr>
          <w:rFonts w:ascii="宋体" w:hAnsi="宋体"/>
          <w:bCs/>
          <w:sz w:val="24"/>
        </w:rPr>
      </w:pPr>
      <w:r>
        <w:rPr>
          <w:rFonts w:hint="eastAsia" w:ascii="宋体" w:hAnsi="宋体"/>
          <w:bCs/>
          <w:sz w:val="24"/>
        </w:rPr>
        <w:t>1、牛羊肉：肌肉红色均匀，有光泽，脂肪洁白（羊）或淡黄色（牛）。外表微干或有风干膜，触摸不粘手。弹性好，指压后凹陷立即恢复。具有鲜牛，羊肉正常气味，无泥污，血污，肉边整齐，无碎肉，碎骨，按标准部位分割，无多余脂肪及血管。</w:t>
      </w:r>
    </w:p>
    <w:p>
      <w:pPr>
        <w:spacing w:line="360" w:lineRule="auto"/>
        <w:ind w:firstLine="480" w:firstLineChars="200"/>
        <w:rPr>
          <w:rFonts w:ascii="宋体" w:hAnsi="宋体"/>
          <w:bCs/>
          <w:sz w:val="24"/>
        </w:rPr>
      </w:pPr>
      <w:r>
        <w:rPr>
          <w:rFonts w:hint="eastAsia" w:ascii="宋体" w:hAnsi="宋体"/>
          <w:bCs/>
          <w:sz w:val="24"/>
        </w:rPr>
        <w:t>2、牛肉筋：4*4cm见方；牛肉片：8*4cm；牛后腿肉：整腿不加工；牛腩块：4*4cm见方；牛蹄筋：食堂自加工。</w:t>
      </w:r>
    </w:p>
    <w:p>
      <w:pPr>
        <w:spacing w:line="360" w:lineRule="auto"/>
        <w:ind w:firstLine="480" w:firstLineChars="200"/>
        <w:rPr>
          <w:rFonts w:ascii="宋体" w:hAnsi="宋体" w:cs="仿宋"/>
          <w:bCs/>
          <w:sz w:val="24"/>
        </w:rPr>
      </w:pPr>
      <w:r>
        <w:rPr>
          <w:rFonts w:ascii="宋体" w:hAnsi="宋体"/>
          <w:bCs/>
          <w:sz w:val="24"/>
        </w:rPr>
        <w:t>3</w:t>
      </w:r>
      <w:r>
        <w:rPr>
          <w:rFonts w:hint="eastAsia" w:ascii="宋体" w:hAnsi="宋体"/>
          <w:bCs/>
          <w:sz w:val="24"/>
        </w:rPr>
        <w:t>、</w:t>
      </w:r>
      <w:r>
        <w:rPr>
          <w:rFonts w:hint="eastAsia" w:ascii="宋体" w:hAnsi="宋体" w:cs="仿宋"/>
          <w:bCs/>
          <w:sz w:val="24"/>
        </w:rPr>
        <w:t>冻畜肉质量标准</w:t>
      </w:r>
    </w:p>
    <w:p>
      <w:pPr>
        <w:spacing w:line="360" w:lineRule="auto"/>
        <w:ind w:firstLine="480" w:firstLineChars="200"/>
        <w:rPr>
          <w:rFonts w:ascii="宋体" w:hAnsi="宋体" w:cs="仿宋"/>
          <w:bCs/>
          <w:sz w:val="24"/>
        </w:rPr>
      </w:pPr>
      <w:r>
        <w:rPr>
          <w:rFonts w:hint="eastAsia" w:ascii="宋体" w:hAnsi="宋体" w:cs="仿宋"/>
          <w:bCs/>
          <w:sz w:val="24"/>
        </w:rPr>
        <w:t>外表颜色比冷却肉鲜明，在表面切开处为浅玫瑰色至灰色，用手或热刀触之，立刻显示鲜红色。肉坚硬，像冰一样，敲击有响声。化冻时，有肉的正常味，略潮，没有熟肉味。脂肪羊为白色，牛为淡黄色。肌腱为白色，石灰色。无杂质，无肌肉风干现象，无白、黄、绿斑、污血，过多冰衣，无白霜，按标准部位分割，外包装无破损，有生产日期。</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、蹄筋质量需求标准</w:t>
      </w:r>
    </w:p>
    <w:p>
      <w:pPr>
        <w:spacing w:line="360" w:lineRule="auto"/>
        <w:ind w:firstLine="480" w:firstLineChars="200"/>
        <w:rPr>
          <w:rFonts w:ascii="宋体" w:hAnsi="宋体"/>
          <w:bCs/>
          <w:sz w:val="24"/>
        </w:rPr>
      </w:pPr>
      <w:r>
        <w:rPr>
          <w:rFonts w:hint="eastAsia" w:ascii="宋体" w:hAnsi="宋体"/>
          <w:bCs/>
          <w:sz w:val="24"/>
        </w:rPr>
        <w:t>品质新鲜，无色透明，表面光亮，无油脂，无精肉，无充血且顺直、干燥。</w:t>
      </w:r>
    </w:p>
    <w:p>
      <w:pPr>
        <w:spacing w:line="360" w:lineRule="auto"/>
        <w:ind w:firstLine="480" w:firstLineChars="200"/>
        <w:rPr>
          <w:rFonts w:ascii="宋体" w:hAnsi="宋体"/>
          <w:bCs/>
          <w:sz w:val="24"/>
        </w:rPr>
      </w:pPr>
      <w:r>
        <w:rPr>
          <w:rFonts w:hint="eastAsia" w:ascii="宋体" w:hAnsi="宋体" w:cs="仿宋"/>
          <w:bCs/>
          <w:sz w:val="24"/>
        </w:rPr>
        <w:t>C、鲜鸡、鸭肉质量标准：</w:t>
      </w:r>
    </w:p>
    <w:p>
      <w:pPr>
        <w:spacing w:line="360" w:lineRule="auto"/>
        <w:ind w:firstLine="480" w:firstLineChars="200"/>
        <w:rPr>
          <w:rFonts w:ascii="宋体" w:hAnsi="宋体"/>
          <w:bCs/>
          <w:sz w:val="24"/>
        </w:rPr>
      </w:pPr>
      <w:r>
        <w:rPr>
          <w:rFonts w:hint="eastAsia" w:ascii="宋体" w:hAnsi="宋体"/>
          <w:bCs/>
          <w:sz w:val="24"/>
        </w:rPr>
        <w:t>1、兔肉：肌肉红色均匀，有光泽，脂肪洁白（兔）。外表微干或有风干膜，触摸不粘手。弹性好，指压后凹陷立即恢复。具有鲜肉正常气味，无泥污，血污，肉边整齐，无碎肉，碎骨，按标准部位分割，无多余脂肪及血管。</w:t>
      </w:r>
    </w:p>
    <w:p>
      <w:pPr>
        <w:spacing w:line="360" w:lineRule="auto"/>
        <w:ind w:firstLine="480" w:firstLineChars="200"/>
        <w:rPr>
          <w:rFonts w:ascii="宋体" w:hAnsi="宋体"/>
          <w:bCs/>
          <w:sz w:val="24"/>
        </w:rPr>
      </w:pPr>
      <w:r>
        <w:rPr>
          <w:rFonts w:hint="eastAsia" w:ascii="宋体" w:hAnsi="宋体"/>
          <w:bCs/>
          <w:sz w:val="24"/>
        </w:rPr>
        <w:t>2、鸡肉：眼球饱满，皮肤有光泽，淡黄或灰白色，肌肉切而发亮。外表微干或微湿，不粘手，弹性良好指压后凹陷立即恢复，有正常气味。无长毛及毛、毛根，口腔及宰刀口血污、杂质、无紫斑瘀血，净腔，禽腹内无过多脂肪，腹下刀口，不过长，刀口整齐，重量在0.85千克的鲜鸡最好当天杀当天送。</w:t>
      </w:r>
    </w:p>
    <w:p>
      <w:pPr>
        <w:spacing w:line="360" w:lineRule="auto"/>
        <w:ind w:firstLine="480" w:firstLineChars="200"/>
        <w:rPr>
          <w:rFonts w:ascii="宋体" w:hAnsi="宋体"/>
          <w:bCs/>
          <w:sz w:val="24"/>
        </w:rPr>
      </w:pPr>
      <w:r>
        <w:rPr>
          <w:rFonts w:hint="eastAsia" w:ascii="宋体" w:hAnsi="宋体"/>
          <w:bCs/>
          <w:sz w:val="24"/>
        </w:rPr>
        <w:t>3、鸡上腿肉：3两重、中间切1刀或2刀；鸡腿肉：切丁2*2cm；表皮光滑，无淤血，交货以干净、新鲜、无异味，大小适合规格要求为标准；鸡翅根：原箱 10kg/箱，10-12个/斤；肉质紧密，无污伤、无小毛，个体大小均匀；鸡胸肉：切丁2*2cm。要求解冻后的鸡肉鸭肉片的出成率达到七成以上。</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鸭肉、鹅肉：眼球平坦，皮肤有光泽，乳白或淡红色，肌肉切而有光泽。外表湿润，不粘手，指压后凹陷立即恢复，鸭、鹅固有的正常气味。无长毛及绒毛、毛根，口腔及宰刀口血污、杂质、无紫斑瘀血，净腔，禽腹内无过多脂肪，腹下刀口，不过长，刀口整齐，北京鸭1.5千克～1.7 千克左右。</w:t>
      </w:r>
    </w:p>
    <w:p>
      <w:pPr>
        <w:spacing w:line="360" w:lineRule="auto"/>
        <w:ind w:firstLine="480" w:firstLineChars="200"/>
        <w:rPr>
          <w:rFonts w:ascii="宋体" w:hAnsi="宋体"/>
          <w:bCs/>
          <w:sz w:val="24"/>
        </w:rPr>
      </w:pPr>
      <w:r>
        <w:rPr>
          <w:rFonts w:hint="eastAsia" w:ascii="宋体" w:hAnsi="宋体"/>
          <w:bCs/>
          <w:sz w:val="24"/>
        </w:rPr>
        <w:t>5、鸭腿肉：4两重、切3-4刀成块；表皮光滑，无淤血，交货以干净、新鲜、无异味，大小适合规格要求为标准。</w:t>
      </w:r>
    </w:p>
    <w:p>
      <w:pPr>
        <w:spacing w:line="360" w:lineRule="auto"/>
        <w:ind w:firstLine="480" w:firstLineChars="200"/>
        <w:rPr>
          <w:rFonts w:ascii="宋体" w:hAnsi="宋体"/>
          <w:bCs/>
          <w:sz w:val="24"/>
        </w:rPr>
      </w:pPr>
      <w:r>
        <w:rPr>
          <w:rFonts w:hint="eastAsia" w:ascii="宋体" w:hAnsi="宋体" w:cs="仿宋"/>
          <w:bCs/>
          <w:sz w:val="24"/>
        </w:rPr>
        <w:t>6、冻禽质量需求标准：</w:t>
      </w:r>
    </w:p>
    <w:p>
      <w:pPr>
        <w:spacing w:line="360" w:lineRule="auto"/>
        <w:ind w:firstLine="480" w:firstLineChars="200"/>
        <w:rPr>
          <w:rFonts w:ascii="宋体" w:hAnsi="宋体"/>
          <w:bCs/>
          <w:sz w:val="24"/>
        </w:rPr>
      </w:pPr>
      <w:r>
        <w:rPr>
          <w:rFonts w:hint="eastAsia" w:ascii="宋体" w:hAnsi="宋体"/>
          <w:bCs/>
          <w:sz w:val="24"/>
        </w:rPr>
        <w:t>外观滋润，呈乳白或微黄色。基本无血脉风干现象，无白，黄绿，紫斑，无冰衣，解冻后与鲜禽特征相同，外包装上有生产日期，外包装无破损，无不封口现象。有光泽、无残羽，无腐臭气味，分割部件应符合标准，无残缺，外包装完好，商标规格、产品说明清晰完整。</w:t>
      </w:r>
    </w:p>
    <w:p>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、禽内脏及各部位肉品质量需求标准</w:t>
      </w:r>
    </w:p>
    <w:p>
      <w:pPr>
        <w:spacing w:line="360" w:lineRule="auto"/>
        <w:ind w:firstLine="480" w:firstLineChars="200"/>
        <w:rPr>
          <w:rFonts w:ascii="宋体" w:hAnsi="宋体"/>
          <w:bCs/>
          <w:sz w:val="24"/>
        </w:rPr>
      </w:pPr>
      <w:r>
        <w:rPr>
          <w:rFonts w:hint="eastAsia" w:ascii="宋体" w:hAnsi="宋体"/>
          <w:bCs/>
          <w:sz w:val="24"/>
        </w:rPr>
        <w:t>（1）鸡脚质量需求标准</w:t>
      </w:r>
    </w:p>
    <w:p>
      <w:pPr>
        <w:spacing w:line="360" w:lineRule="auto"/>
        <w:ind w:firstLine="480" w:firstLineChars="200"/>
        <w:rPr>
          <w:rFonts w:ascii="宋体" w:hAnsi="宋体"/>
          <w:bCs/>
          <w:sz w:val="24"/>
        </w:rPr>
      </w:pPr>
      <w:r>
        <w:rPr>
          <w:rFonts w:hint="eastAsia" w:ascii="宋体" w:hAnsi="宋体"/>
          <w:bCs/>
          <w:sz w:val="24"/>
        </w:rPr>
        <w:t>白色或灰白色无黄衣趾壳，外形完整，无断骨，脚垫上无黑斑或黄斑，无血污、血水。</w:t>
      </w:r>
    </w:p>
    <w:p>
      <w:pPr>
        <w:spacing w:line="360" w:lineRule="auto"/>
        <w:ind w:firstLine="480" w:firstLineChars="200"/>
        <w:rPr>
          <w:rFonts w:ascii="宋体" w:hAnsi="宋体"/>
          <w:bCs/>
          <w:sz w:val="24"/>
        </w:rPr>
      </w:pPr>
      <w:r>
        <w:rPr>
          <w:rFonts w:hint="eastAsia" w:ascii="宋体" w:hAnsi="宋体"/>
          <w:bCs/>
          <w:sz w:val="24"/>
        </w:rPr>
        <w:t>（2）鸡翅质量需求标准</w:t>
      </w:r>
    </w:p>
    <w:p>
      <w:pPr>
        <w:spacing w:line="360" w:lineRule="auto"/>
        <w:ind w:firstLine="480" w:firstLineChars="200"/>
        <w:rPr>
          <w:rFonts w:ascii="宋体" w:hAnsi="宋体"/>
          <w:bCs/>
          <w:sz w:val="24"/>
        </w:rPr>
      </w:pPr>
      <w:r>
        <w:rPr>
          <w:rFonts w:hint="eastAsia" w:ascii="宋体" w:hAnsi="宋体"/>
          <w:bCs/>
          <w:sz w:val="24"/>
        </w:rPr>
        <w:t>无残羽，无黄衣，无伤斑和溃烂，无血水，允许有少量红斑点，允许修剪但最大范围不超弯关节处，全翅200g左右，翅中 100g左右，按部位分割。</w:t>
      </w:r>
    </w:p>
    <w:p>
      <w:pPr>
        <w:spacing w:line="360" w:lineRule="auto"/>
        <w:ind w:firstLine="480" w:firstLineChars="200"/>
        <w:rPr>
          <w:rFonts w:ascii="宋体" w:hAnsi="宋体"/>
          <w:bCs/>
          <w:sz w:val="24"/>
        </w:rPr>
      </w:pPr>
      <w:r>
        <w:rPr>
          <w:rFonts w:hint="eastAsia" w:ascii="宋体" w:hAnsi="宋体"/>
          <w:bCs/>
          <w:sz w:val="24"/>
        </w:rPr>
        <w:t>（3）鸡腿质量需求标准</w:t>
      </w:r>
    </w:p>
    <w:p>
      <w:pPr>
        <w:spacing w:line="360" w:lineRule="auto"/>
        <w:ind w:firstLine="480" w:firstLineChars="200"/>
        <w:rPr>
          <w:rFonts w:ascii="宋体" w:hAnsi="宋体"/>
          <w:bCs/>
          <w:sz w:val="24"/>
        </w:rPr>
      </w:pPr>
      <w:r>
        <w:rPr>
          <w:rFonts w:hint="eastAsia" w:ascii="宋体" w:hAnsi="宋体"/>
          <w:bCs/>
          <w:sz w:val="24"/>
        </w:rPr>
        <w:t>无残羽，无血水、血污、残骨，无伤斑、溃烂、炎症，允许有少量红斑，无多余皮和脂肪。按部位分割，全腿300g左右，下腿150g左右，周边修整齐，形如琵琶。</w:t>
      </w:r>
    </w:p>
    <w:p>
      <w:pPr>
        <w:spacing w:line="360" w:lineRule="auto"/>
        <w:ind w:firstLine="480" w:firstLineChars="200"/>
        <w:rPr>
          <w:rFonts w:ascii="宋体" w:hAnsi="宋体"/>
          <w:bCs/>
          <w:sz w:val="24"/>
        </w:rPr>
      </w:pPr>
      <w:r>
        <w:rPr>
          <w:rFonts w:hint="eastAsia" w:ascii="宋体" w:hAnsi="宋体"/>
          <w:bCs/>
          <w:sz w:val="24"/>
        </w:rPr>
        <w:t>（4）鸡胸肉质量需求标准</w:t>
      </w:r>
    </w:p>
    <w:p>
      <w:pPr>
        <w:spacing w:line="360" w:lineRule="auto"/>
        <w:ind w:firstLine="480" w:firstLineChars="200"/>
        <w:rPr>
          <w:rFonts w:ascii="宋体" w:hAnsi="宋体"/>
          <w:bCs/>
          <w:sz w:val="24"/>
        </w:rPr>
      </w:pPr>
      <w:r>
        <w:rPr>
          <w:rFonts w:hint="eastAsia" w:ascii="宋体" w:hAnsi="宋体"/>
          <w:bCs/>
          <w:sz w:val="24"/>
        </w:rPr>
        <w:t>无残羽，无血水、血污，无残骨、伤斑、溃烂、炎症，允许有少量红斑，无多余脂肪呈白色带有淡色玫瑰色或红色，大胸重量大于 120g，无小胸夹杂。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（三）水产品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A、水产干货类食品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干货包括鱿鱼、墨鱼、鱼翅、干贝、海米、虾皮、贝尖、虾籽、鲍鱼等感官鉴别：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1、干鱿鱼——无盐、干、肉桂色、身长 18cm-20cm/只</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2、干贝——干、肉桂色、直径2cm左右长</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3、海米——淡、干、色粉红、有光泽、2cm左右长</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4、金钩——淡、干、色红、有光泽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5、虾皮——淡、干、有光泽、无断足、断头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6、贝尖——淡、干、肉桂色</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B、海鲜（河鲜）类</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1、鱼</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神态——在水中游动自如，反应敏捷；</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体态——无伤残、无畸形、无病害；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体表——鳞片完整无损，无皮下出血现象及红色鱼鳞。</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补充：</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行动迟缓、反肚、慌乱、狂游的鱼表明已接近死亡或已有病害。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有红色鱼鳞之鱼须挑出拒收。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甲鱼验收方法：使甲鱼背朝天，能自行翻转、背壳黑青、白肚、裙边肥厚、四肢有力；如果甲鱼肚皮发红、有伤痕、有针孔不收；甲鱼腿侧面打水鼓起拒收。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2、虾</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感官鉴别：个大而均匀，活蹦乱跳（或能活动）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3、蟹</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大闸蟹——青皮、白肚、黄毛、金螯及蟹脚刚劲有力，膘壮肉厚，膏多，堆在地上，能迅速四面爬开。</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海蟹——体肥、甲壳色泽正常，腹部洁白，雌蟹有膏时，头胸甲棘尖，反面透黄色，螯及蟹脚有力。</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检验膏蟹及肉蟹时，除检其以上之感官外还需留意其草绳是否过粗，要求草绳所占比例小于20%总重。</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不同规格的大闸蟹其规格相差很大，留意其规格很重要。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足爪舞动慢，不能有力弯曲，带有腐败臭味的拒收。</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4、贝</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双壳贝类——外壳具固有色泽，平时微张口、受惊闭合，斧足与触管伸缩灵活，具固有气味。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单壳贝类——贝肉收缩自如，用手指抚平后能回缩。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C、冻品质量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1、基本要求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（1）整箱包装完整、无破箱、生产地址明显。</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（2）验货时，要拆箱检查，如含水量太多称重时适当按比例除冰块的重量。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（3）如冻品解冻、软化、出水带血水，则不能收货。</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（4）冻品一般无生产日期，验收品质的好坏要用眼去辨认，如出现肉制品风干、变色之冻品不能收货。</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（5）称重时要扣除纸箱、冰块的重量，以货品净重为准。如果外包装箱上标有净重，按净重入库，如果没有净重标识，按5%扣除含冰量。</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2、冻虾仁质量需求标准：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（1）品名、厂址、净含量、生产日期、保质期齐全。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（2）冻虾仁冰衣表面完整、清洁。</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（3）肉质呈淡黄色或乳白色，无异味，组织紧密有弹性，有适当光泽。虾体基本完整，允首尾部稍有残缺，清洁无杂质。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3、冻鱼质量需求标准：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包括利用冷冻方法进行保鲜的海水鱼和淡水鱼。</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（1）鱼外表：鱼鳞完整、色泽清亮、肌体无残缺。</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（2）鱼眼：凸起，清亮且黑白分明，洁净无污物。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（3）鱼肛门：完整无裂，外口紧缩，无黄红浑浊颜色。</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4、速冻食品和冷冻半成品质量需求标准：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（1）包装正确，清洁，无破损。</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（2）品名、厂址、净含量、生产日期、保质期齐全。</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（3）在保质期内，且不超过保质期三分之一时间。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（4）包装内无冰晶，无杂质，粉末。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（5）内容物形状完整，美观，冻结坚实。</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（6）无解冻，软化现象，无开裂，成块现象。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（7）颜色正常，无霉斑等不良现象。</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5、冰鲜鱼质量需求标准：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皮肤——类金属、光泽哑色的表面显示其已不新鲜；</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眼睛——饱满明亮、清晰且完整、瞳孔黑、角膜清澈；</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鳃——鲜红色或血红色、含粘液且没有粘泥；</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肛门——内收或平整，不突出，不破肛；</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体外粘液——透明或水白；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肉质——坚实且富有弹性，轻按下鱼肉后，手指的凹陷处可马上恢复；</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气味——温和的海水味或鲜海藻味，无氯味腐臭味；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体表——鱼鳞完整、体表无破损。</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6、冰鲜虾质量需求标准：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有固有的颜色，不发白或红；头胸甲与躯干连接紧密，无断头现象；虾身清洁无污物。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7、盐渍海产质量需求标准：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感官鉴别：</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质地——坚实而具韧性，手指甲掐之可破、脆嫩；</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气味——轻腥气、盐味；</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色泽——有光泽；</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清洁度——无污物和泥浆。</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包装---干净完整</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D、部分产品具体要求</w:t>
      </w:r>
    </w:p>
    <w:p>
      <w:pPr>
        <w:pStyle w:val="84"/>
        <w:spacing w:line="360" w:lineRule="auto"/>
        <w:ind w:firstLine="480" w:firstLineChars="200"/>
        <w:jc w:val="both"/>
        <w:outlineLvl w:val="9"/>
        <w:rPr>
          <w:rFonts w:ascii="宋体" w:hAnsi="宋体" w:eastAsia="宋体"/>
          <w:b w:val="0"/>
          <w:sz w:val="24"/>
          <w:szCs w:val="24"/>
        </w:rPr>
      </w:pPr>
      <w:r>
        <w:rPr>
          <w:rFonts w:hint="eastAsia" w:ascii="宋体" w:hAnsi="宋体" w:eastAsia="宋体"/>
          <w:b w:val="0"/>
          <w:sz w:val="24"/>
          <w:szCs w:val="24"/>
        </w:rPr>
        <w:t>1、龙利鱼块：将整块鱼切1刀或2刀；</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2</w:t>
      </w:r>
      <w:r>
        <w:rPr>
          <w:rFonts w:hint="eastAsia" w:ascii="宋体" w:hAnsi="宋体" w:eastAsia="宋体"/>
          <w:b w:val="0"/>
          <w:sz w:val="24"/>
          <w:szCs w:val="24"/>
        </w:rPr>
        <w:t>、南美虾：（每公斤40头一50头）；</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3</w:t>
      </w:r>
      <w:r>
        <w:rPr>
          <w:rFonts w:hint="eastAsia" w:ascii="宋体" w:hAnsi="宋体" w:eastAsia="宋体"/>
          <w:b w:val="0"/>
          <w:sz w:val="24"/>
          <w:szCs w:val="24"/>
        </w:rPr>
        <w:t>、龙利鱼柳：将整块鱼切1刀或2刀；</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4</w:t>
      </w:r>
      <w:r>
        <w:rPr>
          <w:rFonts w:hint="eastAsia" w:ascii="宋体" w:hAnsi="宋体" w:eastAsia="宋体"/>
          <w:b w:val="0"/>
          <w:sz w:val="24"/>
          <w:szCs w:val="24"/>
        </w:rPr>
        <w:t>、海虾仁：（每斤41一50头）；</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5</w:t>
      </w:r>
      <w:r>
        <w:rPr>
          <w:rFonts w:hint="eastAsia" w:ascii="宋体" w:hAnsi="宋体" w:eastAsia="宋体"/>
          <w:b w:val="0"/>
          <w:sz w:val="24"/>
          <w:szCs w:val="24"/>
        </w:rPr>
        <w:t>、带鱼：400-700g，鱼眼睛清亮，角膜透明，眼球略微隆起，鳍展平张开，鳞片上覆有冻结的透明黏液层，皮肤天然色泽明显。</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6</w:t>
      </w:r>
      <w:r>
        <w:rPr>
          <w:rFonts w:hint="eastAsia" w:ascii="宋体" w:hAnsi="宋体" w:eastAsia="宋体"/>
          <w:b w:val="0"/>
          <w:sz w:val="24"/>
          <w:szCs w:val="24"/>
        </w:rPr>
        <w:t>、泥猛鱼：每条不低于 200 克，无头、无内脏，鳞片上覆有冻结的透明黏液层，皮肤天然色泽明显。</w:t>
      </w:r>
    </w:p>
    <w:p>
      <w:pPr>
        <w:pStyle w:val="84"/>
        <w:spacing w:line="360" w:lineRule="auto"/>
        <w:ind w:firstLine="480" w:firstLineChars="200"/>
        <w:jc w:val="both"/>
        <w:outlineLvl w:val="9"/>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、罗非鱼排：无头、无鳃、五鳞、无内脏，具有鱼的自然颜色。</w:t>
      </w:r>
    </w:p>
    <w:p>
      <w:pPr>
        <w:spacing w:line="360" w:lineRule="auto"/>
        <w:ind w:firstLine="480" w:firstLineChars="200"/>
        <w:rPr>
          <w:rFonts w:ascii="宋体" w:hAnsi="宋体"/>
          <w:bCs/>
          <w:sz w:val="24"/>
        </w:rPr>
      </w:pPr>
      <w:r>
        <w:rPr>
          <w:rFonts w:hint="eastAsia" w:ascii="宋体" w:hAnsi="宋体"/>
          <w:bCs/>
          <w:sz w:val="24"/>
        </w:rPr>
        <w:t>（四）干货调味品</w:t>
      </w:r>
    </w:p>
    <w:p>
      <w:pPr>
        <w:spacing w:line="360" w:lineRule="auto"/>
        <w:ind w:firstLine="480" w:firstLineChars="200"/>
        <w:rPr>
          <w:rFonts w:ascii="宋体" w:hAnsi="宋体"/>
          <w:bCs/>
          <w:sz w:val="24"/>
        </w:rPr>
      </w:pPr>
      <w:r>
        <w:rPr>
          <w:rFonts w:hint="eastAsia" w:ascii="宋体" w:hAnsi="宋体"/>
          <w:bCs/>
          <w:sz w:val="24"/>
        </w:rPr>
        <w:t>1、食盐质量验收标准</w:t>
      </w:r>
    </w:p>
    <w:p>
      <w:pPr>
        <w:spacing w:line="360" w:lineRule="auto"/>
        <w:ind w:firstLine="480" w:firstLineChars="200"/>
        <w:rPr>
          <w:rFonts w:ascii="宋体" w:hAnsi="宋体"/>
          <w:bCs/>
          <w:sz w:val="24"/>
        </w:rPr>
      </w:pPr>
      <w:r>
        <w:rPr>
          <w:rFonts w:hint="eastAsia" w:ascii="宋体" w:hAnsi="宋体"/>
          <w:bCs/>
          <w:sz w:val="24"/>
        </w:rPr>
        <w:t>味咸、呈白色细晶体，无可见杂质，无苦味、涩味及其他异味，外包装无漏无污，印刷清晰，有防伪标识。</w:t>
      </w:r>
    </w:p>
    <w:p>
      <w:pPr>
        <w:spacing w:line="360" w:lineRule="auto"/>
        <w:ind w:firstLine="480" w:firstLineChars="200"/>
        <w:rPr>
          <w:rFonts w:ascii="宋体" w:hAnsi="宋体"/>
          <w:bCs/>
          <w:sz w:val="24"/>
        </w:rPr>
      </w:pPr>
      <w:r>
        <w:rPr>
          <w:rFonts w:hint="eastAsia" w:ascii="宋体" w:hAnsi="宋体"/>
          <w:bCs/>
          <w:sz w:val="24"/>
        </w:rPr>
        <w:t>2、酱油质量验收标准</w:t>
      </w:r>
    </w:p>
    <w:p>
      <w:pPr>
        <w:spacing w:line="360" w:lineRule="auto"/>
        <w:ind w:firstLine="480" w:firstLineChars="200"/>
        <w:rPr>
          <w:rFonts w:ascii="宋体" w:hAnsi="宋体"/>
          <w:bCs/>
          <w:sz w:val="24"/>
        </w:rPr>
      </w:pPr>
      <w:r>
        <w:rPr>
          <w:rFonts w:hint="eastAsia" w:ascii="宋体" w:hAnsi="宋体"/>
          <w:bCs/>
          <w:sz w:val="24"/>
        </w:rPr>
        <w:t>有正常的色泽，红褐色气味和滋味，无不良气味，不得有酸苦、涩等异味和霉味，不浑浊，不沉淀，无霉花浮膜，外包装无漏无污，印刷清晰，无胀袋现象。</w:t>
      </w:r>
    </w:p>
    <w:p>
      <w:pPr>
        <w:spacing w:line="360" w:lineRule="auto"/>
        <w:ind w:firstLine="480" w:firstLineChars="200"/>
        <w:rPr>
          <w:rFonts w:ascii="宋体" w:hAnsi="宋体"/>
          <w:bCs/>
          <w:sz w:val="24"/>
        </w:rPr>
      </w:pPr>
      <w:r>
        <w:rPr>
          <w:rFonts w:hint="eastAsia" w:ascii="宋体" w:hAnsi="宋体"/>
          <w:bCs/>
          <w:sz w:val="24"/>
        </w:rPr>
        <w:t>3、单晶冰糖质量验收标准</w:t>
      </w:r>
    </w:p>
    <w:p>
      <w:pPr>
        <w:spacing w:line="360" w:lineRule="auto"/>
        <w:ind w:firstLine="480" w:firstLineChars="200"/>
        <w:rPr>
          <w:rFonts w:ascii="宋体" w:hAnsi="宋体"/>
          <w:bCs/>
          <w:sz w:val="24"/>
        </w:rPr>
      </w:pPr>
      <w:r>
        <w:rPr>
          <w:rFonts w:hint="eastAsia" w:ascii="宋体" w:hAnsi="宋体"/>
          <w:bCs/>
          <w:sz w:val="24"/>
        </w:rPr>
        <w:t>晶面干燥基本光滑，晶体大小基本均匀，呈单斜晶体，异形晶、并晶、聚晶及碎晶不超过 15%，色白呈半透明或半透明体，无异味，无明显黑点及其他杂质。</w:t>
      </w:r>
    </w:p>
    <w:p>
      <w:pPr>
        <w:spacing w:line="360" w:lineRule="auto"/>
        <w:ind w:firstLine="480" w:firstLineChars="200"/>
        <w:rPr>
          <w:rFonts w:ascii="宋体" w:hAnsi="宋体"/>
          <w:bCs/>
          <w:sz w:val="24"/>
        </w:rPr>
      </w:pPr>
      <w:r>
        <w:rPr>
          <w:rFonts w:hint="eastAsia" w:ascii="宋体" w:hAnsi="宋体"/>
          <w:bCs/>
          <w:sz w:val="24"/>
        </w:rPr>
        <w:t>4、食醋质量验收标准</w:t>
      </w:r>
    </w:p>
    <w:p>
      <w:pPr>
        <w:spacing w:line="360" w:lineRule="auto"/>
        <w:ind w:firstLine="480" w:firstLineChars="200"/>
        <w:rPr>
          <w:rFonts w:ascii="宋体" w:hAnsi="宋体"/>
          <w:bCs/>
          <w:sz w:val="24"/>
        </w:rPr>
      </w:pPr>
      <w:r>
        <w:rPr>
          <w:rFonts w:hint="eastAsia" w:ascii="宋体" w:hAnsi="宋体"/>
          <w:bCs/>
          <w:sz w:val="24"/>
        </w:rPr>
        <w:t>有正常色泽，琥珀色气味的滋味，不涩，无其他不良气味和异味，不浑浊，无悬浮物及沉淀物，透明澄清无霉花浮膜，无“醋馒”“醋虱”，外包装无漏、无污，印刷清晰，无胀袋现象。</w:t>
      </w:r>
    </w:p>
    <w:p>
      <w:pPr>
        <w:spacing w:line="360" w:lineRule="auto"/>
        <w:ind w:firstLine="480" w:firstLineChars="200"/>
        <w:rPr>
          <w:rFonts w:ascii="宋体" w:hAnsi="宋体"/>
          <w:bCs/>
          <w:sz w:val="24"/>
        </w:rPr>
      </w:pPr>
      <w:r>
        <w:rPr>
          <w:rFonts w:hint="eastAsia" w:ascii="宋体" w:hAnsi="宋体"/>
          <w:bCs/>
          <w:sz w:val="24"/>
        </w:rPr>
        <w:t>5、鱼露和豉油的质量验收标准</w:t>
      </w:r>
    </w:p>
    <w:p>
      <w:pPr>
        <w:spacing w:line="360" w:lineRule="auto"/>
        <w:ind w:firstLine="480" w:firstLineChars="200"/>
        <w:rPr>
          <w:rFonts w:ascii="宋体" w:hAnsi="宋体"/>
          <w:bCs/>
          <w:sz w:val="24"/>
        </w:rPr>
      </w:pPr>
      <w:r>
        <w:rPr>
          <w:rFonts w:hint="eastAsia" w:ascii="宋体" w:hAnsi="宋体"/>
          <w:bCs/>
          <w:sz w:val="24"/>
        </w:rPr>
        <w:t>棕红色或棕黄色，各自的鲜香，无苦涩，澄清透明，不浑浊为佳。</w:t>
      </w:r>
    </w:p>
    <w:p>
      <w:pPr>
        <w:spacing w:line="360" w:lineRule="auto"/>
        <w:ind w:firstLine="480" w:firstLineChars="200"/>
        <w:rPr>
          <w:rFonts w:ascii="宋体" w:hAnsi="宋体"/>
          <w:bCs/>
          <w:sz w:val="24"/>
        </w:rPr>
      </w:pPr>
      <w:r>
        <w:rPr>
          <w:rFonts w:hint="eastAsia" w:ascii="宋体" w:hAnsi="宋体"/>
          <w:bCs/>
          <w:sz w:val="24"/>
        </w:rPr>
        <w:t>6、蚝油的质量验收标准</w:t>
      </w:r>
    </w:p>
    <w:p>
      <w:pPr>
        <w:spacing w:line="360" w:lineRule="auto"/>
        <w:ind w:firstLine="480" w:firstLineChars="200"/>
        <w:rPr>
          <w:rFonts w:ascii="宋体" w:hAnsi="宋体"/>
          <w:bCs/>
          <w:sz w:val="24"/>
        </w:rPr>
      </w:pPr>
      <w:r>
        <w:rPr>
          <w:rFonts w:hint="eastAsia" w:ascii="宋体" w:hAnsi="宋体"/>
          <w:bCs/>
          <w:sz w:val="24"/>
        </w:rPr>
        <w:t>红褐或棕褐色，有一定光泽，稀糊状，液体，无焦苦涩等异味和霉味，无腐败发酵异味，无渣粒。</w:t>
      </w:r>
    </w:p>
    <w:p>
      <w:pPr>
        <w:spacing w:line="360" w:lineRule="auto"/>
        <w:ind w:firstLine="480" w:firstLineChars="200"/>
        <w:rPr>
          <w:rFonts w:ascii="宋体" w:hAnsi="宋体"/>
          <w:bCs/>
          <w:sz w:val="24"/>
        </w:rPr>
      </w:pPr>
      <w:r>
        <w:rPr>
          <w:rFonts w:hint="eastAsia" w:ascii="宋体" w:hAnsi="宋体"/>
          <w:bCs/>
          <w:sz w:val="24"/>
        </w:rPr>
        <w:t>7、酵母</w:t>
      </w:r>
    </w:p>
    <w:p>
      <w:pPr>
        <w:spacing w:line="360" w:lineRule="auto"/>
        <w:ind w:firstLine="480" w:firstLineChars="200"/>
        <w:rPr>
          <w:rFonts w:ascii="宋体" w:hAnsi="宋体"/>
          <w:bCs/>
          <w:sz w:val="24"/>
        </w:rPr>
      </w:pPr>
      <w:r>
        <w:rPr>
          <w:rFonts w:hint="eastAsia" w:ascii="宋体" w:hAnsi="宋体"/>
          <w:bCs/>
          <w:sz w:val="24"/>
        </w:rPr>
        <w:t>在保质期内没超过三分之一的保质期，商品的品牌、规格和等级均正确，商品的外包装良好，无破损，无受潮，无变质。</w:t>
      </w:r>
    </w:p>
    <w:p>
      <w:pPr>
        <w:spacing w:line="360" w:lineRule="auto"/>
        <w:ind w:firstLine="480" w:firstLineChars="200"/>
        <w:rPr>
          <w:rFonts w:ascii="宋体" w:hAnsi="宋体"/>
          <w:bCs/>
          <w:sz w:val="24"/>
        </w:rPr>
      </w:pPr>
      <w:r>
        <w:rPr>
          <w:rFonts w:hint="eastAsia" w:ascii="宋体" w:hAnsi="宋体"/>
          <w:bCs/>
          <w:sz w:val="24"/>
        </w:rPr>
        <w:t>8、味精质量验收标准</w:t>
      </w:r>
    </w:p>
    <w:p>
      <w:pPr>
        <w:spacing w:line="360" w:lineRule="auto"/>
        <w:ind w:firstLine="480" w:firstLineChars="200"/>
        <w:rPr>
          <w:rFonts w:ascii="宋体" w:hAnsi="宋体"/>
          <w:bCs/>
          <w:sz w:val="24"/>
        </w:rPr>
      </w:pPr>
      <w:r>
        <w:rPr>
          <w:rFonts w:hint="eastAsia" w:ascii="宋体" w:hAnsi="宋体"/>
          <w:bCs/>
          <w:sz w:val="24"/>
        </w:rPr>
        <w:t>无色或白色柱状结晶，无杂质、污物，允许有少量碎晶及少量粉末状物质。</w:t>
      </w:r>
    </w:p>
    <w:p>
      <w:pPr>
        <w:spacing w:line="360" w:lineRule="auto"/>
        <w:ind w:firstLine="480" w:firstLineChars="200"/>
        <w:rPr>
          <w:rFonts w:ascii="宋体" w:hAnsi="宋体"/>
          <w:bCs/>
          <w:sz w:val="24"/>
        </w:rPr>
      </w:pPr>
      <w:r>
        <w:rPr>
          <w:rFonts w:hint="eastAsia" w:ascii="宋体" w:hAnsi="宋体"/>
          <w:bCs/>
          <w:sz w:val="24"/>
        </w:rPr>
        <w:t>9、复合酱料质量验收标准</w:t>
      </w:r>
    </w:p>
    <w:p>
      <w:pPr>
        <w:spacing w:line="360" w:lineRule="auto"/>
        <w:ind w:firstLine="480" w:firstLineChars="200"/>
        <w:rPr>
          <w:rFonts w:ascii="宋体" w:hAnsi="宋体"/>
          <w:bCs/>
          <w:sz w:val="24"/>
        </w:rPr>
      </w:pPr>
      <w:r>
        <w:rPr>
          <w:rFonts w:hint="eastAsia" w:ascii="宋体" w:hAnsi="宋体"/>
          <w:bCs/>
          <w:sz w:val="24"/>
        </w:rPr>
        <w:t>外包装无污物、无泄漏，无胀袋或胖听或鼓盖现象，无变质发霉现象，在保质期内，且不超过保质期三分之一时间。</w:t>
      </w:r>
    </w:p>
    <w:p>
      <w:pPr>
        <w:spacing w:line="360" w:lineRule="auto"/>
        <w:ind w:firstLine="480" w:firstLineChars="200"/>
        <w:rPr>
          <w:rFonts w:ascii="宋体" w:hAnsi="宋体"/>
          <w:bCs/>
          <w:sz w:val="24"/>
        </w:rPr>
      </w:pPr>
      <w:r>
        <w:rPr>
          <w:rFonts w:hint="eastAsia" w:ascii="宋体" w:hAnsi="宋体"/>
          <w:bCs/>
          <w:sz w:val="24"/>
        </w:rPr>
        <w:t>10、香料质量验收标准</w:t>
      </w:r>
    </w:p>
    <w:p>
      <w:pPr>
        <w:spacing w:line="360" w:lineRule="auto"/>
        <w:ind w:firstLine="480" w:firstLineChars="200"/>
        <w:rPr>
          <w:rFonts w:ascii="宋体" w:hAnsi="宋体"/>
          <w:bCs/>
          <w:sz w:val="24"/>
        </w:rPr>
      </w:pPr>
      <w:r>
        <w:rPr>
          <w:rFonts w:hint="eastAsia" w:ascii="宋体" w:hAnsi="宋体"/>
          <w:bCs/>
          <w:sz w:val="24"/>
        </w:rPr>
        <w:t>（1）八角质量验收标准</w:t>
      </w:r>
    </w:p>
    <w:p>
      <w:pPr>
        <w:spacing w:line="360" w:lineRule="auto"/>
        <w:ind w:firstLine="480" w:firstLineChars="200"/>
        <w:rPr>
          <w:rFonts w:ascii="宋体" w:hAnsi="宋体"/>
          <w:bCs/>
          <w:sz w:val="24"/>
        </w:rPr>
      </w:pPr>
      <w:r>
        <w:rPr>
          <w:rFonts w:hint="eastAsia" w:ascii="宋体" w:hAnsi="宋体"/>
          <w:bCs/>
          <w:sz w:val="24"/>
        </w:rPr>
        <w:t>色泽棕红鲜艳有光，朵大均匀呈八角形。干燥饱满干裂，香气浓郁，破碎和脱壳籽粒不超 10%，无受潮，无发霉，无杂物。</w:t>
      </w:r>
    </w:p>
    <w:p>
      <w:pPr>
        <w:spacing w:line="360" w:lineRule="auto"/>
        <w:ind w:firstLine="480" w:firstLineChars="200"/>
        <w:rPr>
          <w:rFonts w:ascii="宋体" w:hAnsi="宋体"/>
          <w:bCs/>
          <w:sz w:val="24"/>
        </w:rPr>
      </w:pPr>
      <w:r>
        <w:rPr>
          <w:rFonts w:hint="eastAsia" w:ascii="宋体" w:hAnsi="宋体"/>
          <w:bCs/>
          <w:sz w:val="24"/>
        </w:rPr>
        <w:t>（2）花椒质量验收标准</w:t>
      </w:r>
    </w:p>
    <w:p>
      <w:pPr>
        <w:spacing w:line="360" w:lineRule="auto"/>
        <w:ind w:firstLine="480" w:firstLineChars="200"/>
        <w:rPr>
          <w:rFonts w:ascii="宋体" w:hAnsi="宋体"/>
          <w:bCs/>
          <w:sz w:val="24"/>
        </w:rPr>
      </w:pPr>
      <w:r>
        <w:rPr>
          <w:rFonts w:hint="eastAsia" w:ascii="宋体" w:hAnsi="宋体"/>
          <w:bCs/>
          <w:sz w:val="24"/>
        </w:rPr>
        <w:t>色棕红，麻味足，香味大，身干，无长枝，无霉坏，无杂物，含籽不超5%，无受潮，无发霉，无杂物。</w:t>
      </w:r>
    </w:p>
    <w:p>
      <w:pPr>
        <w:spacing w:line="360" w:lineRule="auto"/>
        <w:ind w:firstLine="480" w:firstLineChars="200"/>
        <w:rPr>
          <w:rFonts w:ascii="宋体" w:hAnsi="宋体"/>
          <w:bCs/>
          <w:sz w:val="24"/>
        </w:rPr>
      </w:pPr>
      <w:r>
        <w:rPr>
          <w:rFonts w:hint="eastAsia" w:ascii="宋体" w:hAnsi="宋体"/>
          <w:bCs/>
          <w:sz w:val="24"/>
        </w:rPr>
        <w:t>（3）桂皮质量验收标准</w:t>
      </w:r>
    </w:p>
    <w:p>
      <w:pPr>
        <w:spacing w:line="360" w:lineRule="auto"/>
        <w:ind w:firstLine="480" w:firstLineChars="200"/>
        <w:rPr>
          <w:rFonts w:ascii="宋体" w:hAnsi="宋体"/>
          <w:bCs/>
          <w:sz w:val="24"/>
        </w:rPr>
      </w:pPr>
      <w:r>
        <w:rPr>
          <w:rFonts w:hint="eastAsia" w:ascii="宋体" w:hAnsi="宋体"/>
          <w:bCs/>
          <w:sz w:val="24"/>
        </w:rPr>
        <w:t>皮面青灰透淡棕色，腹面棕色，表面有细纹，背面有光泽，质坚实，身干，味清香，略带甜，无受潮，无发霉，无杂物。</w:t>
      </w:r>
    </w:p>
    <w:p>
      <w:pPr>
        <w:spacing w:line="360" w:lineRule="auto"/>
        <w:ind w:firstLine="480" w:firstLineChars="200"/>
        <w:rPr>
          <w:rFonts w:ascii="宋体" w:hAnsi="宋体"/>
          <w:bCs/>
          <w:sz w:val="24"/>
        </w:rPr>
      </w:pPr>
      <w:r>
        <w:rPr>
          <w:rFonts w:hint="eastAsia" w:ascii="宋体" w:hAnsi="宋体"/>
          <w:bCs/>
          <w:sz w:val="24"/>
        </w:rPr>
        <w:t>（4）丁香质量验收标准</w:t>
      </w:r>
    </w:p>
    <w:p>
      <w:pPr>
        <w:spacing w:line="360" w:lineRule="auto"/>
        <w:ind w:firstLine="480" w:firstLineChars="200"/>
        <w:rPr>
          <w:rFonts w:ascii="宋体" w:hAnsi="宋体"/>
          <w:bCs/>
          <w:sz w:val="24"/>
        </w:rPr>
      </w:pPr>
      <w:r>
        <w:rPr>
          <w:rFonts w:hint="eastAsia" w:ascii="宋体" w:hAnsi="宋体"/>
          <w:bCs/>
          <w:sz w:val="24"/>
        </w:rPr>
        <w:t>红棕色或棕褐色，上部有四枚三角状萼片，十字状分开，质坚实，富油性，气芳香，浓裂，味辛辣，无受潮，无发霉，无杂物。</w:t>
      </w:r>
    </w:p>
    <w:p>
      <w:pPr>
        <w:spacing w:line="360" w:lineRule="auto"/>
        <w:ind w:firstLine="480" w:firstLineChars="200"/>
        <w:rPr>
          <w:rFonts w:ascii="宋体" w:hAnsi="宋体"/>
          <w:bCs/>
          <w:sz w:val="24"/>
        </w:rPr>
      </w:pPr>
      <w:r>
        <w:rPr>
          <w:rFonts w:hint="eastAsia" w:ascii="宋体" w:hAnsi="宋体"/>
          <w:bCs/>
          <w:sz w:val="24"/>
        </w:rPr>
        <w:t>（5）山柰质量验收标准</w:t>
      </w:r>
    </w:p>
    <w:p>
      <w:pPr>
        <w:spacing w:line="360" w:lineRule="auto"/>
        <w:ind w:firstLine="480" w:firstLineChars="200"/>
        <w:rPr>
          <w:rFonts w:ascii="宋体" w:hAnsi="宋体"/>
          <w:bCs/>
          <w:sz w:val="24"/>
        </w:rPr>
      </w:pPr>
      <w:r>
        <w:rPr>
          <w:rFonts w:hint="eastAsia" w:ascii="宋体" w:hAnsi="宋体"/>
          <w:bCs/>
          <w:sz w:val="24"/>
        </w:rPr>
        <w:t>圆形或近圆形的横切片，外皮浅褐色或褐色皱缩，有的有根痕或残有须根，切面白色粉性，质脆气味特异，味辛辣，无受潮，无发霉，无杂物。</w:t>
      </w:r>
    </w:p>
    <w:p>
      <w:pPr>
        <w:spacing w:line="360" w:lineRule="auto"/>
        <w:ind w:firstLine="480" w:firstLineChars="200"/>
        <w:rPr>
          <w:rFonts w:ascii="宋体" w:hAnsi="宋体"/>
          <w:bCs/>
          <w:sz w:val="24"/>
        </w:rPr>
      </w:pPr>
      <w:r>
        <w:rPr>
          <w:rFonts w:hint="eastAsia" w:ascii="宋体" w:hAnsi="宋体"/>
          <w:bCs/>
          <w:sz w:val="24"/>
        </w:rPr>
        <w:t>（6）陈皮质量验收标准</w:t>
      </w:r>
    </w:p>
    <w:p>
      <w:pPr>
        <w:spacing w:line="360" w:lineRule="auto"/>
        <w:ind w:firstLine="480" w:firstLineChars="200"/>
        <w:rPr>
          <w:rFonts w:ascii="宋体" w:hAnsi="宋体"/>
          <w:bCs/>
          <w:sz w:val="24"/>
        </w:rPr>
      </w:pPr>
      <w:r>
        <w:rPr>
          <w:rFonts w:hint="eastAsia" w:ascii="宋体" w:hAnsi="宋体"/>
          <w:bCs/>
          <w:sz w:val="24"/>
        </w:rPr>
        <w:t>表面橙红或红黄，有无数凹入和油点对光照视清晰，内面黄白色，质稍硬面脆易折断，气香，味辛苦，无受潮，无发霉，无杂物。</w:t>
      </w:r>
    </w:p>
    <w:p>
      <w:pPr>
        <w:spacing w:line="360" w:lineRule="auto"/>
        <w:ind w:firstLine="480" w:firstLineChars="200"/>
        <w:rPr>
          <w:rFonts w:ascii="宋体" w:hAnsi="宋体"/>
          <w:bCs/>
          <w:sz w:val="24"/>
        </w:rPr>
      </w:pPr>
      <w:r>
        <w:rPr>
          <w:rFonts w:hint="eastAsia" w:ascii="宋体" w:hAnsi="宋体"/>
          <w:bCs/>
          <w:sz w:val="24"/>
        </w:rPr>
        <w:t>（7）豆蔻质量验收标准</w:t>
      </w:r>
    </w:p>
    <w:p>
      <w:pPr>
        <w:spacing w:line="360" w:lineRule="auto"/>
        <w:ind w:firstLine="480" w:firstLineChars="200"/>
        <w:rPr>
          <w:rFonts w:ascii="宋体" w:hAnsi="宋体"/>
          <w:bCs/>
          <w:sz w:val="24"/>
        </w:rPr>
      </w:pPr>
      <w:r>
        <w:rPr>
          <w:rFonts w:hint="eastAsia" w:ascii="宋体" w:hAnsi="宋体"/>
          <w:bCs/>
          <w:sz w:val="24"/>
        </w:rPr>
        <w:t>卵圆或椭圆形，表面灰棕色或灰黄色，全体有浅色纵行沟纹及不规则网状沟纹，质坚，断面显示棕黄色相杂的大理石花纹，富油性，气味芳香，无受潮，无发霉，无杂物。</w:t>
      </w:r>
    </w:p>
    <w:p>
      <w:pPr>
        <w:spacing w:line="360" w:lineRule="auto"/>
        <w:ind w:firstLine="480" w:firstLineChars="200"/>
        <w:rPr>
          <w:rFonts w:ascii="宋体" w:hAnsi="宋体"/>
          <w:bCs/>
          <w:sz w:val="24"/>
        </w:rPr>
      </w:pPr>
      <w:r>
        <w:rPr>
          <w:rFonts w:hint="eastAsia" w:ascii="宋体" w:hAnsi="宋体"/>
          <w:bCs/>
          <w:sz w:val="24"/>
        </w:rPr>
        <w:t>（8）草果的质量验收标准</w:t>
      </w:r>
    </w:p>
    <w:p>
      <w:pPr>
        <w:spacing w:line="360" w:lineRule="auto"/>
        <w:ind w:firstLine="480" w:firstLineChars="200"/>
        <w:rPr>
          <w:rFonts w:ascii="宋体" w:hAnsi="宋体"/>
          <w:bCs/>
          <w:sz w:val="24"/>
        </w:rPr>
      </w:pPr>
      <w:r>
        <w:rPr>
          <w:rFonts w:hint="eastAsia" w:ascii="宋体" w:hAnsi="宋体"/>
          <w:bCs/>
          <w:sz w:val="24"/>
        </w:rPr>
        <w:t>椭圆形，个大饱满色红润，香气浓郁，干燥无异味，无受潮，无发霉，无杂物。</w:t>
      </w:r>
    </w:p>
    <w:p>
      <w:pPr>
        <w:spacing w:line="360" w:lineRule="auto"/>
        <w:ind w:firstLine="480" w:firstLineChars="200"/>
        <w:rPr>
          <w:rFonts w:ascii="宋体" w:hAnsi="宋体"/>
          <w:bCs/>
          <w:sz w:val="24"/>
        </w:rPr>
      </w:pPr>
      <w:r>
        <w:rPr>
          <w:rFonts w:hint="eastAsia" w:ascii="宋体" w:hAnsi="宋体"/>
          <w:bCs/>
          <w:sz w:val="24"/>
        </w:rPr>
        <w:t>（9）小茴香的质量验收标准</w:t>
      </w:r>
    </w:p>
    <w:p>
      <w:pPr>
        <w:spacing w:line="360" w:lineRule="auto"/>
        <w:ind w:firstLine="480" w:firstLineChars="200"/>
        <w:rPr>
          <w:rFonts w:ascii="宋体" w:hAnsi="宋体"/>
          <w:bCs/>
          <w:sz w:val="24"/>
        </w:rPr>
      </w:pPr>
      <w:r>
        <w:rPr>
          <w:rFonts w:hint="eastAsia" w:ascii="宋体" w:hAnsi="宋体"/>
          <w:bCs/>
          <w:sz w:val="24"/>
        </w:rPr>
        <w:t>身干粒饱满均匀，气味香郁，色灰绿无杂质，无受潮，无发霉，无杂物。</w:t>
      </w:r>
    </w:p>
    <w:p>
      <w:pPr>
        <w:spacing w:line="360" w:lineRule="auto"/>
        <w:ind w:firstLine="480" w:firstLineChars="200"/>
        <w:rPr>
          <w:rFonts w:ascii="宋体" w:hAnsi="宋体"/>
          <w:bCs/>
          <w:sz w:val="24"/>
        </w:rPr>
      </w:pPr>
      <w:r>
        <w:rPr>
          <w:rFonts w:hint="eastAsia" w:ascii="宋体" w:hAnsi="宋体"/>
          <w:bCs/>
          <w:sz w:val="24"/>
        </w:rPr>
        <w:t>11、粉状香辛料质量验收标准</w:t>
      </w:r>
    </w:p>
    <w:p>
      <w:pPr>
        <w:spacing w:line="360" w:lineRule="auto"/>
        <w:ind w:firstLine="480" w:firstLineChars="200"/>
        <w:rPr>
          <w:rFonts w:ascii="宋体" w:hAnsi="宋体"/>
          <w:bCs/>
          <w:sz w:val="24"/>
        </w:rPr>
      </w:pPr>
      <w:r>
        <w:rPr>
          <w:rFonts w:hint="eastAsia" w:ascii="宋体" w:hAnsi="宋体"/>
          <w:bCs/>
          <w:sz w:val="24"/>
        </w:rPr>
        <w:t>（1）颗粒均匀，无杂质，干燥无结块，具有固有的颜色和气味滋味。</w:t>
      </w:r>
    </w:p>
    <w:p>
      <w:pPr>
        <w:spacing w:line="360" w:lineRule="auto"/>
        <w:ind w:firstLine="480" w:firstLineChars="200"/>
        <w:rPr>
          <w:rFonts w:ascii="宋体" w:hAnsi="宋体"/>
          <w:bCs/>
          <w:sz w:val="24"/>
        </w:rPr>
      </w:pPr>
      <w:r>
        <w:rPr>
          <w:rFonts w:hint="eastAsia" w:ascii="宋体" w:hAnsi="宋体"/>
          <w:bCs/>
          <w:sz w:val="24"/>
        </w:rPr>
        <w:t>（2）包装完整，干净无泄漏。</w:t>
      </w:r>
    </w:p>
    <w:p>
      <w:pPr>
        <w:spacing w:line="360" w:lineRule="auto"/>
        <w:ind w:firstLine="480" w:firstLineChars="200"/>
        <w:rPr>
          <w:rFonts w:ascii="宋体" w:hAnsi="宋体"/>
          <w:bCs/>
          <w:sz w:val="24"/>
        </w:rPr>
      </w:pPr>
      <w:r>
        <w:rPr>
          <w:rFonts w:hint="eastAsia" w:ascii="宋体" w:hAnsi="宋体"/>
          <w:bCs/>
          <w:sz w:val="24"/>
        </w:rPr>
        <w:t>（3）在保质期内且不超过三分之一的。</w:t>
      </w:r>
    </w:p>
    <w:p>
      <w:pPr>
        <w:spacing w:line="360" w:lineRule="auto"/>
        <w:ind w:firstLine="480" w:firstLineChars="200"/>
        <w:rPr>
          <w:rFonts w:ascii="宋体" w:hAnsi="宋体"/>
          <w:bCs/>
          <w:sz w:val="24"/>
        </w:rPr>
      </w:pPr>
      <w:r>
        <w:rPr>
          <w:rFonts w:hint="eastAsia" w:ascii="宋体" w:hAnsi="宋体"/>
          <w:bCs/>
          <w:sz w:val="24"/>
        </w:rPr>
        <w:t>12、副食干货质量验收标准</w:t>
      </w:r>
    </w:p>
    <w:p>
      <w:pPr>
        <w:spacing w:line="360" w:lineRule="auto"/>
        <w:ind w:firstLine="480" w:firstLineChars="200"/>
        <w:rPr>
          <w:rFonts w:ascii="宋体" w:hAnsi="宋体"/>
          <w:bCs/>
          <w:sz w:val="24"/>
        </w:rPr>
      </w:pPr>
      <w:r>
        <w:rPr>
          <w:rFonts w:hint="eastAsia" w:ascii="宋体" w:hAnsi="宋体"/>
          <w:bCs/>
          <w:sz w:val="24"/>
        </w:rPr>
        <w:t>（1）黑木耳</w:t>
      </w:r>
    </w:p>
    <w:p>
      <w:pPr>
        <w:spacing w:line="360" w:lineRule="auto"/>
        <w:ind w:firstLine="480" w:firstLineChars="200"/>
        <w:rPr>
          <w:rFonts w:ascii="宋体" w:hAnsi="宋体"/>
          <w:bCs/>
          <w:sz w:val="24"/>
        </w:rPr>
      </w:pPr>
      <w:r>
        <w:rPr>
          <w:rFonts w:hint="eastAsia" w:ascii="宋体" w:hAnsi="宋体"/>
          <w:bCs/>
          <w:sz w:val="24"/>
        </w:rPr>
        <w:t>朵片基本完整，耳面黑褐色，背暗灰色，有光泽。握之声脆，扎手，具有弹性，耳片不碎为含水适中。无虫蛀，无霉烂无异味。</w:t>
      </w:r>
    </w:p>
    <w:p>
      <w:pPr>
        <w:spacing w:line="360" w:lineRule="auto"/>
        <w:ind w:firstLine="480" w:firstLineChars="200"/>
        <w:rPr>
          <w:rFonts w:ascii="宋体" w:hAnsi="宋体"/>
          <w:bCs/>
          <w:sz w:val="24"/>
        </w:rPr>
      </w:pPr>
      <w:r>
        <w:rPr>
          <w:rFonts w:hint="eastAsia" w:ascii="宋体" w:hAnsi="宋体"/>
          <w:bCs/>
          <w:sz w:val="24"/>
        </w:rPr>
        <w:t>（2）笋干</w:t>
      </w:r>
    </w:p>
    <w:p>
      <w:pPr>
        <w:spacing w:line="360" w:lineRule="auto"/>
        <w:ind w:firstLine="480" w:firstLineChars="200"/>
        <w:rPr>
          <w:rFonts w:ascii="宋体" w:hAnsi="宋体"/>
          <w:bCs/>
          <w:sz w:val="24"/>
        </w:rPr>
      </w:pPr>
      <w:r>
        <w:rPr>
          <w:rFonts w:hint="eastAsia" w:ascii="宋体" w:hAnsi="宋体"/>
          <w:bCs/>
          <w:sz w:val="24"/>
        </w:rPr>
        <w:t>形为扁平三角形，笋身短，宽，薄，色泽金黄，不能太老，无受潮，无霉变。</w:t>
      </w:r>
    </w:p>
    <w:p>
      <w:pPr>
        <w:spacing w:line="360" w:lineRule="auto"/>
        <w:ind w:firstLine="480" w:firstLineChars="200"/>
        <w:rPr>
          <w:rFonts w:ascii="宋体" w:hAnsi="宋体"/>
          <w:bCs/>
          <w:sz w:val="24"/>
        </w:rPr>
      </w:pPr>
      <w:r>
        <w:rPr>
          <w:rFonts w:hint="eastAsia" w:ascii="宋体" w:hAnsi="宋体"/>
          <w:bCs/>
          <w:sz w:val="24"/>
        </w:rPr>
        <w:t>（3）干香菇</w:t>
      </w:r>
    </w:p>
    <w:p>
      <w:pPr>
        <w:spacing w:line="360" w:lineRule="auto"/>
        <w:ind w:firstLine="480" w:firstLineChars="200"/>
        <w:rPr>
          <w:rFonts w:ascii="宋体" w:hAnsi="宋体"/>
          <w:bCs/>
          <w:sz w:val="24"/>
        </w:rPr>
      </w:pPr>
      <w:r>
        <w:rPr>
          <w:rFonts w:hint="eastAsia" w:ascii="宋体" w:hAnsi="宋体"/>
          <w:bCs/>
          <w:sz w:val="24"/>
        </w:rPr>
        <w:t>个体平整均匀，包边未展开，包形卷边圆润，菇肥把短，不发霉，无虫蛀，无受潮。</w:t>
      </w:r>
    </w:p>
    <w:p>
      <w:pPr>
        <w:spacing w:line="360" w:lineRule="auto"/>
        <w:ind w:firstLine="480" w:firstLineChars="200"/>
        <w:rPr>
          <w:rFonts w:ascii="宋体" w:hAnsi="宋体"/>
          <w:bCs/>
          <w:sz w:val="24"/>
        </w:rPr>
      </w:pPr>
      <w:r>
        <w:rPr>
          <w:rFonts w:hint="eastAsia" w:ascii="宋体" w:hAnsi="宋体"/>
          <w:bCs/>
          <w:sz w:val="24"/>
        </w:rPr>
        <w:t>（4）银耳</w:t>
      </w:r>
    </w:p>
    <w:p>
      <w:pPr>
        <w:spacing w:line="360" w:lineRule="auto"/>
        <w:ind w:firstLine="480" w:firstLineChars="200"/>
        <w:rPr>
          <w:rFonts w:ascii="宋体" w:hAnsi="宋体"/>
          <w:bCs/>
          <w:sz w:val="24"/>
        </w:rPr>
      </w:pPr>
      <w:r>
        <w:rPr>
          <w:rFonts w:hint="eastAsia" w:ascii="宋体" w:hAnsi="宋体"/>
          <w:bCs/>
          <w:sz w:val="24"/>
        </w:rPr>
        <w:t>颜色雪白，呈半透明状，有光泽，根部微黄，朵形呈菊花形，大而瓣厚，手感干燥，无发霉，无杂质，无受潮。</w:t>
      </w:r>
    </w:p>
    <w:p>
      <w:pPr>
        <w:spacing w:line="360" w:lineRule="auto"/>
        <w:ind w:firstLine="480" w:firstLineChars="200"/>
        <w:rPr>
          <w:rFonts w:ascii="宋体" w:hAnsi="宋体"/>
          <w:bCs/>
          <w:sz w:val="24"/>
        </w:rPr>
      </w:pPr>
      <w:r>
        <w:rPr>
          <w:rFonts w:hint="eastAsia" w:ascii="宋体" w:hAnsi="宋体"/>
          <w:bCs/>
          <w:sz w:val="24"/>
        </w:rPr>
        <w:t>（5）莲子</w:t>
      </w:r>
    </w:p>
    <w:p>
      <w:pPr>
        <w:spacing w:line="360" w:lineRule="auto"/>
        <w:ind w:firstLine="480" w:firstLineChars="200"/>
        <w:rPr>
          <w:rFonts w:ascii="宋体" w:hAnsi="宋体"/>
          <w:bCs/>
          <w:sz w:val="24"/>
        </w:rPr>
      </w:pPr>
      <w:r>
        <w:rPr>
          <w:rFonts w:hint="eastAsia" w:ascii="宋体" w:hAnsi="宋体"/>
          <w:bCs/>
          <w:sz w:val="24"/>
        </w:rPr>
        <w:t>颗粒饱满，大小均匀，色泽洁白可微黄，闻无明显刺鼻酸味，无发霉虫蛀，无受潮。</w:t>
      </w:r>
    </w:p>
    <w:p>
      <w:pPr>
        <w:spacing w:line="360" w:lineRule="auto"/>
        <w:ind w:firstLine="480" w:firstLineChars="200"/>
        <w:rPr>
          <w:rFonts w:ascii="宋体" w:hAnsi="宋体"/>
          <w:bCs/>
          <w:sz w:val="24"/>
        </w:rPr>
      </w:pPr>
      <w:r>
        <w:rPr>
          <w:rFonts w:hint="eastAsia" w:ascii="宋体" w:hAnsi="宋体"/>
          <w:bCs/>
          <w:sz w:val="24"/>
        </w:rPr>
        <w:t>（6）腐竹</w:t>
      </w:r>
    </w:p>
    <w:p>
      <w:pPr>
        <w:spacing w:line="360" w:lineRule="auto"/>
        <w:ind w:firstLine="480" w:firstLineChars="200"/>
        <w:rPr>
          <w:rFonts w:ascii="宋体" w:hAnsi="宋体"/>
          <w:bCs/>
          <w:sz w:val="24"/>
        </w:rPr>
      </w:pPr>
      <w:r>
        <w:rPr>
          <w:rFonts w:hint="eastAsia" w:ascii="宋体" w:hAnsi="宋体"/>
          <w:bCs/>
          <w:sz w:val="24"/>
        </w:rPr>
        <w:t>手感干脆易断，肉质纤维细嫩，颜色淡黄油润，有光泽，条干细长有光泽。无发霉，无异味，无受潮。</w:t>
      </w:r>
    </w:p>
    <w:p>
      <w:pPr>
        <w:spacing w:line="360" w:lineRule="auto"/>
        <w:ind w:firstLine="480" w:firstLineChars="200"/>
        <w:rPr>
          <w:rFonts w:ascii="宋体" w:hAnsi="宋体"/>
          <w:bCs/>
          <w:sz w:val="24"/>
        </w:rPr>
      </w:pPr>
      <w:r>
        <w:rPr>
          <w:rFonts w:hint="eastAsia" w:ascii="宋体" w:hAnsi="宋体"/>
          <w:bCs/>
          <w:sz w:val="24"/>
        </w:rPr>
        <w:t>（7）米粉的质量验收标准</w:t>
      </w:r>
    </w:p>
    <w:p>
      <w:pPr>
        <w:spacing w:line="360" w:lineRule="auto"/>
        <w:ind w:firstLine="480" w:firstLineChars="200"/>
        <w:rPr>
          <w:rFonts w:ascii="宋体" w:hAnsi="宋体"/>
          <w:bCs/>
          <w:sz w:val="24"/>
        </w:rPr>
      </w:pPr>
      <w:r>
        <w:rPr>
          <w:rFonts w:hint="eastAsia" w:ascii="宋体" w:hAnsi="宋体"/>
          <w:bCs/>
          <w:sz w:val="24"/>
        </w:rPr>
        <w:t>色明亮，有透明感，无斑点，无异味，煮熟后不严重断条、不糊汤。</w:t>
      </w:r>
    </w:p>
    <w:p>
      <w:pPr>
        <w:spacing w:line="360" w:lineRule="auto"/>
        <w:ind w:firstLine="480" w:firstLineChars="200"/>
        <w:rPr>
          <w:rFonts w:ascii="宋体" w:hAnsi="宋体"/>
          <w:bCs/>
          <w:sz w:val="24"/>
        </w:rPr>
      </w:pPr>
      <w:r>
        <w:rPr>
          <w:rFonts w:hint="eastAsia" w:ascii="宋体" w:hAnsi="宋体"/>
          <w:bCs/>
          <w:sz w:val="24"/>
        </w:rPr>
        <w:t>（8）去核枣</w:t>
      </w:r>
    </w:p>
    <w:p>
      <w:pPr>
        <w:spacing w:line="360" w:lineRule="auto"/>
        <w:ind w:firstLine="480" w:firstLineChars="200"/>
        <w:rPr>
          <w:rFonts w:ascii="宋体" w:hAnsi="宋体"/>
          <w:bCs/>
          <w:sz w:val="24"/>
        </w:rPr>
      </w:pPr>
      <w:r>
        <w:rPr>
          <w:rFonts w:hint="eastAsia" w:ascii="宋体" w:hAnsi="宋体"/>
          <w:bCs/>
          <w:sz w:val="24"/>
        </w:rPr>
        <w:t>果形饱满， 枣香纯正，颜色深红，个头均匀，无枣核残留，无异味，无发霉，无受潮。</w:t>
      </w:r>
    </w:p>
    <w:p>
      <w:pPr>
        <w:spacing w:line="360" w:lineRule="auto"/>
        <w:ind w:firstLine="480" w:firstLineChars="200"/>
        <w:rPr>
          <w:rFonts w:ascii="宋体" w:hAnsi="宋体"/>
          <w:bCs/>
          <w:sz w:val="24"/>
        </w:rPr>
      </w:pPr>
      <w:r>
        <w:rPr>
          <w:rFonts w:hint="eastAsia" w:ascii="宋体" w:hAnsi="宋体"/>
          <w:bCs/>
          <w:sz w:val="24"/>
        </w:rPr>
        <w:t>（9）粉丝粉条类</w:t>
      </w:r>
    </w:p>
    <w:p>
      <w:pPr>
        <w:spacing w:line="360" w:lineRule="auto"/>
        <w:ind w:firstLine="480" w:firstLineChars="200"/>
        <w:rPr>
          <w:rFonts w:ascii="宋体" w:hAnsi="宋体"/>
          <w:bCs/>
          <w:sz w:val="24"/>
        </w:rPr>
      </w:pPr>
      <w:r>
        <w:rPr>
          <w:rFonts w:hint="eastAsia" w:ascii="宋体" w:hAnsi="宋体"/>
          <w:bCs/>
          <w:sz w:val="24"/>
        </w:rPr>
        <w:t>有黄色，半透明的，条身粗细均匀，干爽有韧性，无砂无异物，无异味，无霉斑，无受潮。</w:t>
      </w:r>
    </w:p>
    <w:p>
      <w:pPr>
        <w:spacing w:line="360" w:lineRule="auto"/>
        <w:ind w:firstLine="480" w:firstLineChars="200"/>
        <w:rPr>
          <w:rFonts w:ascii="宋体" w:hAnsi="宋体"/>
          <w:bCs/>
          <w:sz w:val="24"/>
        </w:rPr>
      </w:pPr>
      <w:r>
        <w:rPr>
          <w:rFonts w:hint="eastAsia" w:ascii="宋体" w:hAnsi="宋体"/>
          <w:bCs/>
          <w:sz w:val="24"/>
        </w:rPr>
        <w:t>（10）枸杞</w:t>
      </w:r>
    </w:p>
    <w:p>
      <w:pPr>
        <w:spacing w:line="360" w:lineRule="auto"/>
        <w:ind w:firstLine="480" w:firstLineChars="200"/>
        <w:rPr>
          <w:rFonts w:ascii="宋体" w:hAnsi="宋体"/>
          <w:bCs/>
          <w:sz w:val="24"/>
        </w:rPr>
      </w:pPr>
      <w:r>
        <w:rPr>
          <w:rFonts w:hint="eastAsia" w:ascii="宋体" w:hAnsi="宋体"/>
          <w:bCs/>
          <w:sz w:val="24"/>
        </w:rPr>
        <w:t>形状类纺锥形，略扁稍皱缩，色泽鲜红，紫红或枣红，具有枸杞应有的气味。无杂质，无霉变，无受潮。</w:t>
      </w:r>
    </w:p>
    <w:p>
      <w:pPr>
        <w:spacing w:line="360" w:lineRule="auto"/>
        <w:ind w:firstLine="480" w:firstLineChars="200"/>
        <w:rPr>
          <w:rFonts w:ascii="宋体" w:hAnsi="宋体"/>
          <w:bCs/>
          <w:sz w:val="24"/>
        </w:rPr>
      </w:pPr>
      <w:r>
        <w:rPr>
          <w:rFonts w:hint="eastAsia" w:ascii="宋体" w:hAnsi="宋体"/>
          <w:bCs/>
          <w:sz w:val="24"/>
        </w:rPr>
        <w:t>13、香肠制品的质量验收标准</w:t>
      </w:r>
    </w:p>
    <w:p>
      <w:pPr>
        <w:spacing w:line="360" w:lineRule="auto"/>
        <w:ind w:firstLine="480" w:firstLineChars="200"/>
        <w:rPr>
          <w:rFonts w:ascii="宋体" w:hAnsi="宋体"/>
          <w:bCs/>
          <w:sz w:val="24"/>
        </w:rPr>
      </w:pPr>
      <w:r>
        <w:rPr>
          <w:rFonts w:hint="eastAsia" w:ascii="宋体" w:hAnsi="宋体"/>
          <w:bCs/>
          <w:sz w:val="24"/>
        </w:rPr>
        <w:t>肠衣完整与内容物结合紧密，坚实有弹力，无黏液、霉斑，切面坚实湿润、有光泽，肉为蔷薇色，无酸败臭味，有本身固有的香味和滋味。</w:t>
      </w:r>
    </w:p>
    <w:p>
      <w:pPr>
        <w:spacing w:line="360" w:lineRule="auto"/>
        <w:ind w:firstLine="480" w:firstLineChars="200"/>
        <w:rPr>
          <w:rFonts w:ascii="宋体" w:hAnsi="宋体"/>
          <w:bCs/>
          <w:sz w:val="24"/>
        </w:rPr>
      </w:pPr>
      <w:r>
        <w:rPr>
          <w:rFonts w:hint="eastAsia" w:ascii="宋体" w:hAnsi="宋体"/>
          <w:bCs/>
          <w:sz w:val="24"/>
        </w:rPr>
        <w:t>14、腊制品的质量验收标准</w:t>
      </w:r>
    </w:p>
    <w:p>
      <w:pPr>
        <w:spacing w:line="360" w:lineRule="auto"/>
        <w:ind w:firstLine="480" w:firstLineChars="200"/>
        <w:rPr>
          <w:rFonts w:ascii="宋体" w:hAnsi="宋体"/>
          <w:bCs/>
          <w:sz w:val="24"/>
        </w:rPr>
      </w:pPr>
      <w:r>
        <w:rPr>
          <w:rFonts w:hint="eastAsia" w:ascii="宋体" w:hAnsi="宋体"/>
          <w:bCs/>
          <w:sz w:val="24"/>
        </w:rPr>
        <w:t>色泽鲜明，肌肉呈红色，脂肪透明呈乳白色，肉身干燥结实，有固有气味。真空度保持良好，无空隙汁液流动，无大量脂肪溢出。</w:t>
      </w:r>
    </w:p>
    <w:p>
      <w:pPr>
        <w:spacing w:line="360" w:lineRule="auto"/>
        <w:ind w:firstLine="480" w:firstLineChars="200"/>
        <w:rPr>
          <w:rFonts w:ascii="宋体" w:hAnsi="宋体"/>
          <w:bCs/>
          <w:sz w:val="24"/>
        </w:rPr>
      </w:pPr>
      <w:r>
        <w:rPr>
          <w:rFonts w:hint="eastAsia" w:ascii="宋体" w:hAnsi="宋体"/>
          <w:bCs/>
          <w:sz w:val="24"/>
        </w:rPr>
        <w:t>15、罐头商品的质量验收标准</w:t>
      </w:r>
    </w:p>
    <w:p>
      <w:pPr>
        <w:spacing w:line="360" w:lineRule="auto"/>
        <w:ind w:firstLine="480" w:firstLineChars="200"/>
        <w:rPr>
          <w:rFonts w:ascii="宋体" w:hAnsi="宋体"/>
          <w:bCs/>
          <w:sz w:val="24"/>
        </w:rPr>
      </w:pPr>
      <w:r>
        <w:rPr>
          <w:rFonts w:hint="eastAsia" w:ascii="宋体" w:hAnsi="宋体"/>
          <w:bCs/>
          <w:sz w:val="24"/>
        </w:rPr>
        <w:t>（1）铁听制品应表面光亮，无锈迹，无磨损，无变形，无胀罐现象，商标无霉变。</w:t>
      </w:r>
    </w:p>
    <w:p>
      <w:pPr>
        <w:spacing w:line="360" w:lineRule="auto"/>
        <w:ind w:firstLine="480" w:firstLineChars="200"/>
        <w:rPr>
          <w:rFonts w:ascii="宋体" w:hAnsi="宋体"/>
          <w:bCs/>
          <w:sz w:val="24"/>
        </w:rPr>
      </w:pPr>
      <w:r>
        <w:rPr>
          <w:rFonts w:hint="eastAsia" w:ascii="宋体" w:hAnsi="宋体"/>
          <w:bCs/>
          <w:sz w:val="24"/>
        </w:rPr>
        <w:t>（2）玻璃瓶制品，罐盖无锈迹，无胀罐现象，内容物色泽正常，符合产品本身所具有的质量标准。</w:t>
      </w:r>
    </w:p>
    <w:p>
      <w:pPr>
        <w:spacing w:line="360" w:lineRule="auto"/>
        <w:ind w:firstLine="480" w:firstLineChars="200"/>
        <w:rPr>
          <w:rFonts w:ascii="宋体" w:hAnsi="宋体"/>
          <w:bCs/>
          <w:sz w:val="24"/>
        </w:rPr>
      </w:pPr>
      <w:r>
        <w:rPr>
          <w:rFonts w:hint="eastAsia" w:ascii="宋体" w:hAnsi="宋体"/>
          <w:bCs/>
          <w:sz w:val="24"/>
        </w:rPr>
        <w:t>16、酱菜、干调类商品的质量验收标准：</w:t>
      </w:r>
    </w:p>
    <w:p>
      <w:pPr>
        <w:spacing w:line="360" w:lineRule="auto"/>
        <w:ind w:firstLine="480" w:firstLineChars="200"/>
        <w:rPr>
          <w:rFonts w:ascii="宋体" w:hAnsi="宋体"/>
          <w:bCs/>
          <w:sz w:val="24"/>
        </w:rPr>
      </w:pPr>
      <w:r>
        <w:rPr>
          <w:rFonts w:hint="eastAsia" w:ascii="宋体" w:hAnsi="宋体"/>
          <w:bCs/>
          <w:sz w:val="24"/>
        </w:rPr>
        <w:t>液体调味品和酱菜类商品表面应干净清洁，无液体外渗；干菜色泽鲜艳、干燥有韧性，无破碎片、虫蛀、霉坏和泥土杂质。</w:t>
      </w:r>
    </w:p>
    <w:p>
      <w:pPr>
        <w:widowControl/>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br w:type="page"/>
      </w:r>
    </w:p>
    <w:p>
      <w:pPr>
        <w:tabs>
          <w:tab w:val="left" w:pos="1668"/>
          <w:tab w:val="left" w:pos="2508"/>
          <w:tab w:val="left" w:pos="3348"/>
          <w:tab w:val="left" w:pos="5149"/>
          <w:tab w:val="left" w:pos="6949"/>
          <w:tab w:val="left" w:pos="7789"/>
          <w:tab w:val="left" w:pos="8509"/>
        </w:tabs>
        <w:spacing w:before="26" w:line="360" w:lineRule="auto"/>
        <w:ind w:left="108" w:firstLine="640" w:firstLineChars="200"/>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合同附件 2 罚则明细</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合同期内，甲方对食品质量每月抽查一次（食品安全事故调查、接到投诉调查而送检不受此次数限制），质量检验费用由乙方支付：对抽查发现产品质量不合格的，责成乙方对该批次产品作出更换、退货、每次扣除履约保证金的 10%、情节严重的甲方有权解除合同，解除通知送达乙方当日合同解除；合同期内累计四次不合格的（可为相同或不同食品），甲方有权扣除全部履约保证金并解除合同，情节严重的按第五条处理。</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2、乙方应当依据国家有关法律法规要求建立健全各项管理制度，保证食品安全， 有明确的食品安全责任人。因所供食品质量原因导致发生食品安全事故，除解除合同、扣除全部履约保证金外，乙方还需赔偿甲方救治经费等全部损失。</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3、乙方按合同约定的标的供货，不得转包、分包，否则甲方有权单方面终止合同， 乙方承担由此造成的经济损失，履约保证金不予退还。</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4、经甲方调查如乙方存在下述情形之一的，每次扣除履约保证金的 5 %（违约情</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况每月不得超过 3 次，否则，甲方有权解除合同；若一年内违约累计达到 10 次（含） 以上，甲方有权解除合同）：</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（1）供应食品品种、品牌、规格或质量等级与合同不符；</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（2）提供虚假检验报告等相关票证；</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（3）因退货或未按甲方采购计划数量、时间供应，造成甲方伙食及销售无法按时供应；</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（4）供货数量低于甲方采购计划数量的 80%（含本数）；</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（5）将验收不合格退货的食品再次配送给甲方；</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（6）在包装、运输、装卸等环节不符合食品安全要求；</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（7）食品溯源管理制度不落实，进货查验记录不全；</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（8）配送时未带齐甲方要求单据的，如采购送货单、检验证明材料等；</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（9）未即时报送更换人员及车辆相关材料。</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（10）配送人员及车辆违反甲方《生活服务处供应商人员车辆入部管理办法》相关管理规定，包括乱停车、不按要求码货、人员不按规定着装、不符合疫情防控要求等情况。</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5、乙方应严格遵守《食品卫生法》和《动物检疫法》等相关规定，乙方销售食品如存在下述情形之一的，除全部退货外，甲方有权解除合同，解除通知送达乙方当日</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合同解除，扣除全部履约保证金，乙方仍需承担由此给甲方造成的一切损失：</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（1）腐败变质、油脂酸败、霉变、生虫（蔬菜、水果生虫需在合理范围或个别现象）、污秽不洁、混有异物或者其他感官性状异常，对人体健康有害的；</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（2）含有毒、有害物质或者被有害物质污染，对人体健康有害的；</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（3）含有致病性寄生虫、微生物或者微生物含量超过国家限定标准的；</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（4）未经动物检疫部门检疫、检验或者检疫、检验不合格的畜禽肉及其制品；</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（5）病死、毒死或者死因不明的禽、畜、兽、水产动物等及其制品；</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（6）超过保质期限的。</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p>
    <w:p>
      <w:pPr>
        <w:widowControl/>
        <w:jc w:val="left"/>
        <w:rPr>
          <w:rFonts w:asciiTheme="minorEastAsia" w:hAnsiTheme="minorEastAsia" w:eastAsiaTheme="minorEastAsia"/>
          <w:kern w:val="0"/>
          <w:sz w:val="32"/>
          <w:szCs w:val="32"/>
        </w:rPr>
      </w:pPr>
      <w:r>
        <w:rPr>
          <w:rFonts w:asciiTheme="minorEastAsia" w:hAnsiTheme="minorEastAsia" w:eastAsiaTheme="minorEastAsia"/>
          <w:kern w:val="0"/>
          <w:sz w:val="32"/>
          <w:szCs w:val="32"/>
        </w:rPr>
        <w:br w:type="page"/>
      </w:r>
    </w:p>
    <w:p>
      <w:pPr>
        <w:tabs>
          <w:tab w:val="left" w:pos="1668"/>
          <w:tab w:val="left" w:pos="2508"/>
          <w:tab w:val="left" w:pos="3348"/>
          <w:tab w:val="left" w:pos="5149"/>
          <w:tab w:val="left" w:pos="6949"/>
          <w:tab w:val="left" w:pos="7789"/>
          <w:tab w:val="left" w:pos="8509"/>
        </w:tabs>
        <w:spacing w:before="26" w:line="360" w:lineRule="auto"/>
        <w:ind w:left="108" w:firstLine="640" w:firstLineChars="200"/>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合同附件 3  保密承诺书</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甲方（采购人名称）： </w:t>
      </w:r>
      <w:r>
        <w:rPr>
          <w:rFonts w:hint="eastAsia" w:asciiTheme="minorEastAsia" w:hAnsiTheme="minorEastAsia" w:eastAsiaTheme="minorEastAsia"/>
          <w:kern w:val="0"/>
          <w:sz w:val="24"/>
        </w:rPr>
        <w:tab/>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鉴于在 </w:t>
      </w:r>
      <w:r>
        <w:rPr>
          <w:rFonts w:hint="eastAsia" w:asciiTheme="minorEastAsia" w:hAnsiTheme="minorEastAsia" w:eastAsiaTheme="minorEastAsia"/>
          <w:kern w:val="0"/>
          <w:sz w:val="24"/>
        </w:rPr>
        <w:tab/>
      </w:r>
      <w:r>
        <w:rPr>
          <w:rFonts w:hint="eastAsia" w:asciiTheme="minorEastAsia" w:hAnsiTheme="minorEastAsia" w:eastAsiaTheme="minorEastAsia"/>
          <w:kern w:val="0"/>
          <w:sz w:val="24"/>
        </w:rPr>
        <w:t>（项目名称）的合作过程中，我公司已经或将要知悉贵单位所拥有的且标明秘密的参数、技巧等秘密信息，我公司做出以下保密声明，承诺有效地保护贵单位秘密和信息：</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秘密信息指商业秘密、所有权、秘密技术、所有的分析、记录、研究、原型以及其他与秘密信息相关的文献和材料，其中商业信息包括所有的信息，目前涉及到的数据和工具、将来或计划中的设备、材料、仪器、工艺过程、配方样品、技术、图纸、设计、产量、成本、供应商、客户、关键技术以及贵单位提供给我公司的其他类似资料信息，包括在采购设备中所出现的技术参数等。在可能的合作过程中，贵单位提出的所有服务需求和改进的建议，均属于贵单位专有的技术秘密。</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2、保密义务</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（1）对秘密信息进行保密；</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（2）除为履行职责而确有必要知悉秘密信息的相关人员，不向其他任何人披露， 也不向任何第三方透露；</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（3）及时、妥善地做好资料整理、归档和保密工作。3、如违反上述承诺，我公司承担相应法律责任。</w:t>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p>
    <w:p>
      <w:pPr>
        <w:tabs>
          <w:tab w:val="left" w:pos="1668"/>
          <w:tab w:val="left" w:pos="4310"/>
          <w:tab w:val="left" w:pos="4430"/>
          <w:tab w:val="left" w:pos="5149"/>
          <w:tab w:val="left" w:pos="6949"/>
          <w:tab w:val="left" w:pos="7789"/>
          <w:tab w:val="left" w:pos="8509"/>
        </w:tabs>
        <w:spacing w:before="26" w:line="360" w:lineRule="auto"/>
        <w:ind w:left="420" w:leftChars="200"/>
        <w:rPr>
          <w:rFonts w:asciiTheme="minorEastAsia" w:hAnsiTheme="minorEastAsia" w:eastAsiaTheme="minorEastAsia"/>
          <w:kern w:val="0"/>
          <w:sz w:val="24"/>
        </w:rPr>
      </w:pPr>
      <w:r>
        <w:rPr>
          <w:rFonts w:hint="eastAsia" w:asciiTheme="minorEastAsia" w:hAnsiTheme="minorEastAsia" w:eastAsiaTheme="minorEastAsia"/>
          <w:kern w:val="0"/>
          <w:sz w:val="24"/>
        </w:rPr>
        <w:t>承诺方全称（盖章）：</w:t>
      </w:r>
      <w:r>
        <w:rPr>
          <w:rFonts w:hint="eastAsia" w:asciiTheme="minorEastAsia" w:hAnsiTheme="minorEastAsia" w:eastAsiaTheme="minorEastAsia"/>
          <w:kern w:val="0"/>
          <w:sz w:val="24"/>
          <w:u w:val="single"/>
        </w:rPr>
        <w:t xml:space="preserve"> </w:t>
      </w:r>
      <w:r>
        <w:rPr>
          <w:rFonts w:asciiTheme="minorEastAsia" w:hAnsiTheme="minorEastAsia" w:eastAsiaTheme="minorEastAsia"/>
          <w:kern w:val="0"/>
          <w:sz w:val="24"/>
          <w:u w:val="single"/>
        </w:rPr>
        <w:t xml:space="preserve">           </w:t>
      </w:r>
      <w:r>
        <w:rPr>
          <w:rFonts w:asciiTheme="minorEastAsia" w:hAnsiTheme="minorEastAsia" w:eastAsiaTheme="minorEastAsia"/>
          <w:kern w:val="0"/>
          <w:sz w:val="24"/>
        </w:rPr>
        <w:t xml:space="preserve"> </w:t>
      </w:r>
      <w:r>
        <w:rPr>
          <w:rFonts w:hint="eastAsia" w:asciiTheme="minorEastAsia" w:hAnsiTheme="minorEastAsia" w:eastAsiaTheme="minorEastAsia"/>
          <w:kern w:val="0"/>
          <w:sz w:val="24"/>
        </w:rPr>
        <w:t xml:space="preserve"> </w:t>
      </w:r>
      <w:r>
        <w:rPr>
          <w:rFonts w:hint="eastAsia" w:asciiTheme="minorEastAsia" w:hAnsiTheme="minorEastAsia" w:eastAsiaTheme="minorEastAsia"/>
          <w:kern w:val="0"/>
          <w:sz w:val="24"/>
        </w:rPr>
        <w:tab/>
      </w:r>
      <w:r>
        <w:rPr>
          <w:rFonts w:hint="eastAsia" w:asciiTheme="minorEastAsia" w:hAnsiTheme="minorEastAsia" w:eastAsiaTheme="minorEastAsia"/>
          <w:kern w:val="0"/>
          <w:sz w:val="24"/>
        </w:rPr>
        <w:tab/>
      </w:r>
      <w:r>
        <w:rPr>
          <w:rFonts w:hint="eastAsia" w:asciiTheme="minorEastAsia" w:hAnsiTheme="minorEastAsia" w:eastAsiaTheme="minorEastAsia"/>
          <w:kern w:val="0"/>
          <w:sz w:val="24"/>
        </w:rPr>
        <w:t xml:space="preserve">                                                  承诺日期：</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u w:val="single"/>
        </w:rPr>
        <w:tab/>
      </w:r>
    </w:p>
    <w:p>
      <w:pPr>
        <w:tabs>
          <w:tab w:val="left" w:pos="1668"/>
          <w:tab w:val="left" w:pos="2508"/>
          <w:tab w:val="left" w:pos="3348"/>
          <w:tab w:val="left" w:pos="5149"/>
          <w:tab w:val="left" w:pos="6949"/>
          <w:tab w:val="left" w:pos="7789"/>
          <w:tab w:val="left" w:pos="8509"/>
        </w:tabs>
        <w:spacing w:before="26" w:line="360" w:lineRule="auto"/>
        <w:ind w:left="108" w:firstLine="480" w:firstLineChars="200"/>
        <w:rPr>
          <w:rFonts w:asciiTheme="minorEastAsia" w:hAnsiTheme="minorEastAsia" w:eastAsiaTheme="minorEastAsia"/>
          <w:kern w:val="0"/>
          <w:sz w:val="24"/>
        </w:rPr>
      </w:pPr>
    </w:p>
    <w:p>
      <w:pPr>
        <w:tabs>
          <w:tab w:val="left" w:pos="1668"/>
          <w:tab w:val="left" w:pos="2508"/>
          <w:tab w:val="left" w:pos="3348"/>
          <w:tab w:val="left" w:pos="5149"/>
          <w:tab w:val="left" w:pos="6949"/>
          <w:tab w:val="left" w:pos="7789"/>
          <w:tab w:val="left" w:pos="8509"/>
        </w:tabs>
        <w:spacing w:before="26"/>
        <w:ind w:left="108"/>
        <w:jc w:val="left"/>
        <w:rPr>
          <w:rFonts w:ascii="宋体" w:hAnsi="宋体"/>
          <w:kern w:val="0"/>
          <w:sz w:val="24"/>
        </w:rPr>
      </w:pPr>
    </w:p>
    <w:p>
      <w:pPr>
        <w:spacing w:before="10"/>
        <w:jc w:val="left"/>
        <w:rPr>
          <w:rFonts w:ascii="宋体" w:hAnsi="宋体" w:cs="宋体"/>
          <w:kern w:val="0"/>
          <w:sz w:val="9"/>
          <w:szCs w:val="9"/>
        </w:rPr>
      </w:pPr>
    </w:p>
    <w:p>
      <w:pPr>
        <w:jc w:val="left"/>
        <w:rPr>
          <w:rFonts w:ascii="宋体" w:hAnsi="宋体" w:cs="宋体"/>
          <w:kern w:val="0"/>
          <w:sz w:val="9"/>
          <w:szCs w:val="9"/>
        </w:rPr>
        <w:sectPr>
          <w:type w:val="continuous"/>
          <w:pgSz w:w="11910" w:h="16840"/>
          <w:pgMar w:top="1260" w:right="1600" w:bottom="280" w:left="1140" w:header="720" w:footer="720" w:gutter="0"/>
          <w:cols w:space="720" w:num="1"/>
        </w:sectPr>
      </w:pPr>
    </w:p>
    <w:p>
      <w:pPr>
        <w:pStyle w:val="3"/>
        <w:rPr>
          <w:rFonts w:ascii="Arial" w:hAnsi="Arial" w:cs="Arial"/>
          <w:color w:val="auto"/>
        </w:rPr>
      </w:pPr>
      <w:bookmarkStart w:id="335" w:name="_Toc83810513"/>
      <w:bookmarkStart w:id="336" w:name="_Toc83809637"/>
      <w:bookmarkStart w:id="337" w:name="_Toc82328639"/>
      <w:bookmarkStart w:id="338" w:name="_Toc82485147"/>
      <w:bookmarkStart w:id="339" w:name="_Toc83809761"/>
      <w:bookmarkStart w:id="340" w:name="_Toc163975558"/>
      <w:bookmarkStart w:id="341" w:name="_Toc163975794"/>
      <w:bookmarkStart w:id="342" w:name="_Toc163975191"/>
      <w:bookmarkStart w:id="343" w:name="_Toc163975983"/>
      <w:bookmarkStart w:id="344" w:name="_Toc163975721"/>
      <w:bookmarkStart w:id="345" w:name="_Toc83810784"/>
      <w:bookmarkStart w:id="346" w:name="_Toc184437991"/>
      <w:bookmarkStart w:id="347" w:name="_Toc238962558"/>
      <w:bookmarkStart w:id="348" w:name="_Toc163976166"/>
      <w:bookmarkStart w:id="349" w:name="_Toc235608921"/>
      <w:bookmarkStart w:id="350" w:name="_Toc185326898"/>
      <w:bookmarkStart w:id="351" w:name="_Toc219600815"/>
      <w:bookmarkStart w:id="352" w:name="_Toc167105244"/>
      <w:bookmarkStart w:id="353" w:name="_Toc82502366"/>
      <w:bookmarkStart w:id="354" w:name="_Toc82246254"/>
      <w:bookmarkStart w:id="355" w:name="_Toc82246198"/>
      <w:bookmarkStart w:id="356" w:name="_Toc80582204"/>
      <w:bookmarkStart w:id="357" w:name="_Toc70081321"/>
      <w:bookmarkStart w:id="358" w:name="_Toc70081224"/>
      <w:bookmarkStart w:id="359" w:name="_Toc67131246"/>
      <w:bookmarkStart w:id="360" w:name="_Toc50985654"/>
      <w:bookmarkStart w:id="361" w:name="_Toc50985477"/>
      <w:bookmarkStart w:id="362" w:name="_Toc50893955"/>
      <w:bookmarkStart w:id="363" w:name="_Toc50893646"/>
      <w:bookmarkStart w:id="364" w:name="_Toc46107910"/>
      <w:bookmarkStart w:id="365" w:name="_Toc24342874"/>
      <w:bookmarkStart w:id="366" w:name="_Toc21916434"/>
      <w:bookmarkStart w:id="367" w:name="_Toc21916301"/>
      <w:bookmarkStart w:id="368" w:name="_Toc21854775"/>
      <w:bookmarkStart w:id="369" w:name="_Toc21916233"/>
      <w:bookmarkStart w:id="370" w:name="_Toc8845750"/>
      <w:bookmarkStart w:id="371" w:name="_Toc8845732"/>
      <w:bookmarkStart w:id="372" w:name="_Toc8845659"/>
      <w:bookmarkStart w:id="373" w:name="_Toc21861904"/>
      <w:bookmarkStart w:id="374" w:name="_Toc92357018"/>
      <w:bookmarkStart w:id="375" w:name="_Toc92965935"/>
      <w:bookmarkStart w:id="376" w:name="_Toc524703770"/>
      <w:bookmarkStart w:id="377" w:name="_Toc524092800"/>
      <w:bookmarkStart w:id="378" w:name="_Toc524703844"/>
      <w:bookmarkStart w:id="379" w:name="_Toc524092697"/>
      <w:bookmarkStart w:id="380" w:name="_Toc524092620"/>
      <w:bookmarkStart w:id="381" w:name="_Toc524092527"/>
      <w:bookmarkStart w:id="382" w:name="_Toc524087284"/>
      <w:bookmarkStart w:id="383" w:name="_Toc524089215"/>
      <w:bookmarkStart w:id="384" w:name="_Toc509111590"/>
      <w:bookmarkStart w:id="385" w:name="_Toc509111520"/>
      <w:r>
        <w:rPr>
          <w:rFonts w:ascii="Arial" w:hAnsi="Arial" w:cs="Arial"/>
          <w:color w:val="auto"/>
        </w:rPr>
        <w:t>第六章</w:t>
      </w:r>
      <w:r>
        <w:rPr>
          <w:rFonts w:hint="eastAsia" w:ascii="Arial" w:hAnsi="Arial" w:cs="Arial"/>
          <w:color w:val="auto"/>
        </w:rPr>
        <w:t xml:space="preserve"> </w:t>
      </w:r>
      <w:r>
        <w:rPr>
          <w:rFonts w:ascii="Arial" w:hAnsi="Arial" w:cs="Arial"/>
          <w:color w:val="auto"/>
        </w:rPr>
        <w:t>附件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End w:id="376"/>
    <w:bookmarkEnd w:id="377"/>
    <w:bookmarkEnd w:id="378"/>
    <w:bookmarkEnd w:id="379"/>
    <w:bookmarkEnd w:id="380"/>
    <w:bookmarkEnd w:id="381"/>
    <w:bookmarkEnd w:id="382"/>
    <w:bookmarkEnd w:id="383"/>
    <w:bookmarkEnd w:id="384"/>
    <w:bookmarkEnd w:id="385"/>
    <w:p>
      <w:pPr>
        <w:adjustRightInd w:val="0"/>
        <w:snapToGrid w:val="0"/>
        <w:spacing w:line="360" w:lineRule="auto"/>
        <w:jc w:val="center"/>
        <w:rPr>
          <w:rFonts w:ascii="Arial" w:hAnsi="Arial" w:eastAsia="黑体" w:cs="Arial"/>
          <w:sz w:val="30"/>
          <w:szCs w:val="30"/>
        </w:rPr>
      </w:pPr>
      <w:bookmarkStart w:id="386" w:name="_Hlt527376393"/>
      <w:bookmarkEnd w:id="386"/>
      <w:bookmarkStart w:id="387" w:name="_Toc524087285"/>
      <w:bookmarkStart w:id="388" w:name="_Toc516329222"/>
      <w:bookmarkStart w:id="389" w:name="_Toc516325286"/>
      <w:bookmarkStart w:id="390" w:name="_Toc509379904"/>
      <w:bookmarkStart w:id="391" w:name="_Toc509111779"/>
      <w:bookmarkStart w:id="392" w:name="_Toc509111521"/>
      <w:bookmarkStart w:id="393" w:name="_Toc509110768"/>
      <w:bookmarkStart w:id="394" w:name="_Toc524089216"/>
      <w:bookmarkStart w:id="395" w:name="_Toc163975862"/>
      <w:bookmarkStart w:id="396" w:name="_Toc185326899"/>
      <w:bookmarkStart w:id="397" w:name="_Toc184437992"/>
      <w:bookmarkStart w:id="398" w:name="_Toc167105245"/>
      <w:bookmarkStart w:id="399" w:name="_Toc163976167"/>
      <w:bookmarkStart w:id="400" w:name="_Toc163975920"/>
      <w:bookmarkStart w:id="401" w:name="_Toc163975795"/>
      <w:bookmarkStart w:id="402" w:name="_Toc80582205"/>
      <w:bookmarkStart w:id="403" w:name="_Toc163975722"/>
      <w:bookmarkStart w:id="404" w:name="_Toc163975559"/>
      <w:bookmarkStart w:id="405" w:name="_Toc83810785"/>
      <w:bookmarkStart w:id="406" w:name="_Toc83809762"/>
      <w:bookmarkStart w:id="407" w:name="_Toc83810514"/>
      <w:bookmarkStart w:id="408" w:name="_Toc83809638"/>
      <w:bookmarkStart w:id="409" w:name="_Toc82502367"/>
      <w:bookmarkStart w:id="410" w:name="_Toc82485148"/>
      <w:bookmarkStart w:id="411" w:name="_Toc82246255"/>
      <w:bookmarkStart w:id="412" w:name="_Toc82328640"/>
      <w:bookmarkStart w:id="413" w:name="_Toc82246199"/>
      <w:bookmarkStart w:id="414" w:name="_Toc70081322"/>
      <w:bookmarkStart w:id="415" w:name="_Toc70081225"/>
      <w:bookmarkStart w:id="416" w:name="_Toc67131247"/>
      <w:bookmarkStart w:id="417" w:name="_Toc52175475"/>
      <w:bookmarkStart w:id="418" w:name="_Toc50985739"/>
      <w:bookmarkStart w:id="419" w:name="_Toc50985655"/>
      <w:bookmarkStart w:id="420" w:name="_Toc50985607"/>
      <w:bookmarkStart w:id="421" w:name="_Toc50985478"/>
      <w:bookmarkStart w:id="422" w:name="_Toc50895823"/>
      <w:bookmarkStart w:id="423" w:name="_Toc50893647"/>
      <w:bookmarkStart w:id="424" w:name="_Toc50893956"/>
      <w:bookmarkStart w:id="425" w:name="_Toc50893600"/>
      <w:bookmarkStart w:id="426" w:name="_Toc50893475"/>
      <w:bookmarkStart w:id="427" w:name="_Toc21854776"/>
      <w:bookmarkStart w:id="428" w:name="_Toc46107911"/>
      <w:bookmarkStart w:id="429" w:name="_Toc8845751"/>
      <w:bookmarkStart w:id="430" w:name="_Toc8845733"/>
      <w:bookmarkStart w:id="431" w:name="_Toc8845573"/>
      <w:bookmarkStart w:id="432" w:name="_Toc8845660"/>
      <w:bookmarkStart w:id="433" w:name="_Toc524703845"/>
      <w:bookmarkStart w:id="434" w:name="_Toc524703771"/>
      <w:bookmarkStart w:id="435" w:name="_Toc524092801"/>
      <w:bookmarkStart w:id="436" w:name="_Toc524092698"/>
      <w:bookmarkStart w:id="437" w:name="_Toc524092621"/>
      <w:bookmarkStart w:id="438" w:name="_Toc524092528"/>
    </w:p>
    <w:p>
      <w:pPr>
        <w:adjustRightInd w:val="0"/>
        <w:snapToGrid w:val="0"/>
        <w:spacing w:line="360" w:lineRule="auto"/>
        <w:jc w:val="center"/>
        <w:rPr>
          <w:rFonts w:ascii="Arial" w:hAnsi="Arial" w:eastAsia="黑体" w:cs="Arial"/>
          <w:sz w:val="30"/>
          <w:szCs w:val="30"/>
        </w:rPr>
      </w:pPr>
      <w:bookmarkStart w:id="439" w:name="_Hlk27731504"/>
      <w:r>
        <w:rPr>
          <w:rFonts w:ascii="Arial" w:hAnsi="Arial" w:eastAsia="黑体" w:cs="Arial"/>
          <w:sz w:val="30"/>
          <w:szCs w:val="30"/>
        </w:rPr>
        <w:t xml:space="preserve">附件1  </w:t>
      </w:r>
      <w:bookmarkEnd w:id="387"/>
      <w:bookmarkEnd w:id="388"/>
      <w:bookmarkEnd w:id="389"/>
      <w:bookmarkEnd w:id="390"/>
      <w:bookmarkEnd w:id="391"/>
      <w:bookmarkEnd w:id="392"/>
      <w:bookmarkEnd w:id="393"/>
      <w:bookmarkEnd w:id="394"/>
      <w:r>
        <w:rPr>
          <w:rFonts w:ascii="Arial" w:hAnsi="Arial" w:eastAsia="黑体" w:cs="Arial"/>
          <w:sz w:val="30"/>
          <w:szCs w:val="30"/>
        </w:rPr>
        <w:t>应答函</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snapToGrid w:val="0"/>
        <w:spacing w:line="360" w:lineRule="auto"/>
        <w:rPr>
          <w:rFonts w:ascii="Arial" w:hAnsi="Arial"/>
          <w:sz w:val="24"/>
          <w:szCs w:val="20"/>
          <w:u w:val="single"/>
        </w:rPr>
      </w:pPr>
      <w:bookmarkStart w:id="440" w:name="_Toc509111522"/>
      <w:bookmarkStart w:id="441" w:name="_Toc509110769"/>
      <w:bookmarkStart w:id="442" w:name="_Toc509111780"/>
      <w:bookmarkStart w:id="443" w:name="_Toc509379905"/>
      <w:bookmarkStart w:id="444" w:name="_Toc516325287"/>
      <w:bookmarkStart w:id="445" w:name="_Toc516329223"/>
      <w:bookmarkStart w:id="446" w:name="_Toc524087286"/>
      <w:bookmarkStart w:id="447" w:name="_Toc524089217"/>
      <w:bookmarkStart w:id="448" w:name="_Toc524092529"/>
      <w:bookmarkStart w:id="449" w:name="_Toc524092622"/>
      <w:bookmarkStart w:id="450" w:name="_Toc524092699"/>
      <w:bookmarkStart w:id="451" w:name="_Toc524703772"/>
      <w:bookmarkStart w:id="452" w:name="_Toc524092802"/>
      <w:bookmarkStart w:id="453" w:name="_Toc524703846"/>
      <w:bookmarkStart w:id="454" w:name="_Toc8845574"/>
      <w:bookmarkStart w:id="455" w:name="_Toc8845661"/>
      <w:bookmarkStart w:id="456" w:name="_Toc8845752"/>
      <w:bookmarkStart w:id="457" w:name="_Toc8845734"/>
      <w:bookmarkStart w:id="458" w:name="_Toc21854777"/>
      <w:bookmarkStart w:id="459" w:name="_Toc46107912"/>
      <w:bookmarkStart w:id="460" w:name="_Toc50893476"/>
      <w:bookmarkStart w:id="461" w:name="_Toc50893601"/>
      <w:bookmarkStart w:id="462" w:name="_Toc50893648"/>
      <w:bookmarkStart w:id="463" w:name="_Toc50893957"/>
      <w:bookmarkStart w:id="464" w:name="_Toc50895824"/>
      <w:bookmarkStart w:id="465" w:name="_Toc50985479"/>
      <w:bookmarkStart w:id="466" w:name="_Toc50985608"/>
      <w:bookmarkStart w:id="467" w:name="_Toc50985656"/>
      <w:bookmarkStart w:id="468" w:name="_Toc50985740"/>
      <w:bookmarkStart w:id="469" w:name="_Toc52175476"/>
      <w:bookmarkStart w:id="470" w:name="_Toc67131248"/>
      <w:bookmarkStart w:id="471" w:name="_Toc70081323"/>
      <w:bookmarkStart w:id="472" w:name="_Toc70081226"/>
      <w:bookmarkStart w:id="473" w:name="_Toc80582206"/>
      <w:bookmarkStart w:id="474" w:name="_Toc82246200"/>
      <w:bookmarkStart w:id="475" w:name="_Toc82328641"/>
      <w:bookmarkStart w:id="476" w:name="_Toc82246256"/>
      <w:bookmarkStart w:id="477" w:name="_Toc82485149"/>
      <w:bookmarkStart w:id="478" w:name="_Toc82502368"/>
      <w:bookmarkStart w:id="479" w:name="_Toc83809639"/>
      <w:bookmarkStart w:id="480" w:name="_Toc83809763"/>
      <w:bookmarkStart w:id="481" w:name="_Toc83810515"/>
      <w:bookmarkStart w:id="482" w:name="_Toc83810786"/>
      <w:bookmarkStart w:id="483" w:name="_Toc163975560"/>
      <w:bookmarkStart w:id="484" w:name="_Toc163975723"/>
      <w:bookmarkStart w:id="485" w:name="_Toc163975796"/>
      <w:bookmarkStart w:id="486" w:name="_Toc163975863"/>
      <w:bookmarkStart w:id="487" w:name="_Toc163975921"/>
      <w:bookmarkStart w:id="488" w:name="_Toc163976168"/>
      <w:bookmarkStart w:id="489" w:name="_Toc167105246"/>
      <w:bookmarkStart w:id="490" w:name="_Toc184437993"/>
      <w:bookmarkStart w:id="491" w:name="_Toc185326900"/>
      <w:r>
        <w:rPr>
          <w:rFonts w:ascii="Arial" w:hAnsi="Arial"/>
          <w:sz w:val="24"/>
          <w:szCs w:val="20"/>
        </w:rPr>
        <w:t>致：</w:t>
      </w:r>
      <w:r>
        <w:rPr>
          <w:rFonts w:ascii="Arial" w:hAnsi="Arial"/>
          <w:sz w:val="24"/>
          <w:szCs w:val="20"/>
          <w:u w:val="single"/>
        </w:rPr>
        <w:t>_______________（采购代理机构）</w:t>
      </w:r>
    </w:p>
    <w:p>
      <w:pPr>
        <w:snapToGrid w:val="0"/>
        <w:spacing w:line="360" w:lineRule="auto"/>
        <w:ind w:firstLine="480" w:firstLineChars="200"/>
        <w:rPr>
          <w:rFonts w:ascii="Arial" w:hAnsi="Arial"/>
          <w:sz w:val="24"/>
          <w:szCs w:val="20"/>
        </w:rPr>
      </w:pPr>
      <w:r>
        <w:rPr>
          <w:rFonts w:ascii="Arial" w:hAnsi="Arial"/>
          <w:sz w:val="24"/>
          <w:szCs w:val="20"/>
        </w:rPr>
        <w:t>根据贵方所发____________项目的磋商邀请（磋商文件编号</w:t>
      </w:r>
      <w:r>
        <w:rPr>
          <w:rFonts w:hint="eastAsia" w:ascii="Arial" w:hAnsi="Arial"/>
          <w:sz w:val="24"/>
          <w:szCs w:val="20"/>
        </w:rPr>
        <w:t>：</w:t>
      </w:r>
      <w:r>
        <w:rPr>
          <w:rFonts w:ascii="Arial" w:hAnsi="Arial"/>
          <w:sz w:val="24"/>
          <w:szCs w:val="20"/>
        </w:rPr>
        <w:t>），签字代表</w:t>
      </w:r>
      <w:r>
        <w:rPr>
          <w:rFonts w:ascii="Arial" w:hAnsi="Arial"/>
          <w:sz w:val="24"/>
          <w:szCs w:val="20"/>
          <w:u w:val="single"/>
        </w:rPr>
        <w:t>_________（全名、职务）</w:t>
      </w:r>
      <w:r>
        <w:rPr>
          <w:rFonts w:ascii="Arial" w:hAnsi="Arial"/>
          <w:sz w:val="24"/>
          <w:szCs w:val="20"/>
        </w:rPr>
        <w:t>经正式授权并代表供应商</w:t>
      </w:r>
      <w:r>
        <w:rPr>
          <w:rFonts w:ascii="Arial" w:hAnsi="Arial"/>
          <w:sz w:val="24"/>
          <w:szCs w:val="20"/>
          <w:u w:val="single"/>
        </w:rPr>
        <w:t>（供应商名称、地址）</w:t>
      </w:r>
      <w:r>
        <w:rPr>
          <w:rFonts w:ascii="Arial" w:hAnsi="Arial"/>
          <w:sz w:val="24"/>
          <w:szCs w:val="20"/>
        </w:rPr>
        <w:t>提交下述文件正本一份、副本</w:t>
      </w:r>
      <w:r>
        <w:rPr>
          <w:rFonts w:hint="eastAsia" w:ascii="Arial" w:hAnsi="Arial"/>
          <w:sz w:val="24"/>
          <w:szCs w:val="20"/>
        </w:rPr>
        <w:t>__</w:t>
      </w:r>
      <w:r>
        <w:rPr>
          <w:rFonts w:ascii="Arial" w:hAnsi="Arial"/>
          <w:sz w:val="24"/>
          <w:szCs w:val="20"/>
        </w:rPr>
        <w:t>份和电子版一份。</w:t>
      </w:r>
    </w:p>
    <w:p>
      <w:pPr>
        <w:numPr>
          <w:ilvl w:val="0"/>
          <w:numId w:val="43"/>
        </w:numPr>
        <w:snapToGrid w:val="0"/>
        <w:spacing w:line="360" w:lineRule="auto"/>
        <w:rPr>
          <w:rFonts w:ascii="Arial" w:hAnsi="Arial"/>
          <w:sz w:val="24"/>
          <w:szCs w:val="20"/>
        </w:rPr>
      </w:pPr>
      <w:r>
        <w:rPr>
          <w:rFonts w:ascii="Arial" w:hAnsi="Arial"/>
          <w:sz w:val="24"/>
          <w:szCs w:val="20"/>
        </w:rPr>
        <w:t>法定代表人授权书</w:t>
      </w:r>
    </w:p>
    <w:p>
      <w:pPr>
        <w:numPr>
          <w:ilvl w:val="0"/>
          <w:numId w:val="43"/>
        </w:numPr>
        <w:snapToGrid w:val="0"/>
        <w:spacing w:line="360" w:lineRule="auto"/>
        <w:rPr>
          <w:rFonts w:ascii="Arial" w:hAnsi="Arial"/>
          <w:sz w:val="24"/>
          <w:szCs w:val="20"/>
        </w:rPr>
      </w:pPr>
      <w:r>
        <w:rPr>
          <w:rFonts w:ascii="Arial" w:hAnsi="Arial"/>
          <w:sz w:val="24"/>
          <w:szCs w:val="20"/>
        </w:rPr>
        <w:t>报价一览表</w:t>
      </w:r>
    </w:p>
    <w:p>
      <w:pPr>
        <w:numPr>
          <w:ilvl w:val="0"/>
          <w:numId w:val="43"/>
        </w:numPr>
        <w:snapToGrid w:val="0"/>
        <w:spacing w:line="360" w:lineRule="auto"/>
        <w:rPr>
          <w:rFonts w:ascii="Arial" w:hAnsi="Arial"/>
          <w:sz w:val="24"/>
          <w:szCs w:val="20"/>
        </w:rPr>
      </w:pPr>
      <w:r>
        <w:rPr>
          <w:rFonts w:hint="eastAsia" w:ascii="Arial" w:hAnsi="Arial"/>
          <w:sz w:val="24"/>
          <w:szCs w:val="20"/>
        </w:rPr>
        <w:t>分项报价表</w:t>
      </w:r>
    </w:p>
    <w:p>
      <w:pPr>
        <w:numPr>
          <w:ilvl w:val="0"/>
          <w:numId w:val="43"/>
        </w:numPr>
        <w:snapToGrid w:val="0"/>
        <w:spacing w:line="360" w:lineRule="auto"/>
        <w:rPr>
          <w:rFonts w:ascii="Arial" w:hAnsi="Arial"/>
          <w:sz w:val="24"/>
          <w:szCs w:val="20"/>
        </w:rPr>
      </w:pPr>
      <w:r>
        <w:rPr>
          <w:rFonts w:ascii="Arial" w:hAnsi="Arial"/>
          <w:sz w:val="24"/>
          <w:szCs w:val="20"/>
        </w:rPr>
        <w:t>技术规格偏离表</w:t>
      </w:r>
    </w:p>
    <w:p>
      <w:pPr>
        <w:numPr>
          <w:ilvl w:val="0"/>
          <w:numId w:val="43"/>
        </w:numPr>
        <w:snapToGrid w:val="0"/>
        <w:spacing w:line="360" w:lineRule="auto"/>
        <w:rPr>
          <w:rFonts w:ascii="Arial" w:hAnsi="Arial"/>
          <w:sz w:val="24"/>
          <w:szCs w:val="20"/>
        </w:rPr>
      </w:pPr>
      <w:r>
        <w:rPr>
          <w:rFonts w:ascii="Arial" w:hAnsi="Arial"/>
          <w:sz w:val="24"/>
          <w:szCs w:val="20"/>
        </w:rPr>
        <w:t>商务条款偏离表</w:t>
      </w:r>
    </w:p>
    <w:p>
      <w:pPr>
        <w:numPr>
          <w:ilvl w:val="0"/>
          <w:numId w:val="43"/>
        </w:numPr>
        <w:snapToGrid w:val="0"/>
        <w:spacing w:line="360" w:lineRule="auto"/>
        <w:rPr>
          <w:rFonts w:ascii="Arial" w:hAnsi="Arial"/>
          <w:sz w:val="24"/>
          <w:szCs w:val="20"/>
        </w:rPr>
      </w:pPr>
      <w:r>
        <w:rPr>
          <w:rFonts w:ascii="Arial" w:hAnsi="Arial"/>
          <w:sz w:val="24"/>
          <w:szCs w:val="20"/>
        </w:rPr>
        <w:t>资格证明文件</w:t>
      </w:r>
    </w:p>
    <w:p>
      <w:pPr>
        <w:numPr>
          <w:ilvl w:val="0"/>
          <w:numId w:val="43"/>
        </w:numPr>
        <w:snapToGrid w:val="0"/>
        <w:spacing w:line="360" w:lineRule="auto"/>
        <w:rPr>
          <w:rFonts w:ascii="Arial" w:hAnsi="Arial"/>
          <w:sz w:val="24"/>
          <w:szCs w:val="20"/>
        </w:rPr>
      </w:pPr>
      <w:r>
        <w:rPr>
          <w:rFonts w:ascii="Arial" w:hAnsi="Arial"/>
          <w:sz w:val="24"/>
          <w:szCs w:val="20"/>
        </w:rPr>
        <w:t>技术响应文件</w:t>
      </w:r>
    </w:p>
    <w:p>
      <w:pPr>
        <w:numPr>
          <w:ilvl w:val="0"/>
          <w:numId w:val="43"/>
        </w:numPr>
        <w:snapToGrid w:val="0"/>
        <w:spacing w:line="360" w:lineRule="auto"/>
        <w:rPr>
          <w:rFonts w:ascii="Arial" w:hAnsi="Arial"/>
          <w:sz w:val="24"/>
          <w:szCs w:val="20"/>
        </w:rPr>
      </w:pPr>
      <w:r>
        <w:rPr>
          <w:rFonts w:ascii="Arial" w:hAnsi="Arial"/>
          <w:sz w:val="24"/>
          <w:szCs w:val="20"/>
        </w:rPr>
        <w:t xml:space="preserve">我单位磋商保证金，金额为______________ </w:t>
      </w:r>
    </w:p>
    <w:p>
      <w:pPr>
        <w:snapToGrid w:val="0"/>
        <w:spacing w:line="360" w:lineRule="auto"/>
        <w:ind w:firstLine="480" w:firstLineChars="200"/>
        <w:rPr>
          <w:rFonts w:ascii="Arial" w:hAnsi="Arial"/>
          <w:sz w:val="24"/>
          <w:szCs w:val="20"/>
        </w:rPr>
      </w:pPr>
      <w:r>
        <w:rPr>
          <w:rFonts w:ascii="Arial" w:hAnsi="Arial"/>
          <w:sz w:val="24"/>
          <w:szCs w:val="20"/>
        </w:rPr>
        <w:t>据此函，签字代表宣布同意如下：</w:t>
      </w:r>
    </w:p>
    <w:p>
      <w:pPr>
        <w:numPr>
          <w:ilvl w:val="0"/>
          <w:numId w:val="11"/>
        </w:numPr>
        <w:snapToGrid w:val="0"/>
        <w:spacing w:line="360" w:lineRule="auto"/>
        <w:rPr>
          <w:rFonts w:ascii="Arial" w:hAnsi="Arial"/>
          <w:sz w:val="24"/>
          <w:szCs w:val="20"/>
        </w:rPr>
      </w:pPr>
      <w:r>
        <w:rPr>
          <w:rFonts w:ascii="Arial" w:hAnsi="Arial"/>
          <w:sz w:val="24"/>
          <w:szCs w:val="20"/>
        </w:rPr>
        <w:t>所附报价表中规定的应提供</w:t>
      </w:r>
      <w:r>
        <w:rPr>
          <w:rFonts w:hint="eastAsia" w:ascii="Arial" w:hAnsi="Arial"/>
          <w:sz w:val="24"/>
          <w:szCs w:val="20"/>
        </w:rPr>
        <w:t>产品</w:t>
      </w:r>
      <w:r>
        <w:rPr>
          <w:rFonts w:ascii="Arial" w:hAnsi="Arial"/>
          <w:sz w:val="24"/>
          <w:szCs w:val="20"/>
        </w:rPr>
        <w:t>和服务报价总价为</w:t>
      </w:r>
      <w:r>
        <w:rPr>
          <w:rFonts w:ascii="Arial" w:hAnsi="Arial"/>
          <w:sz w:val="24"/>
          <w:szCs w:val="20"/>
          <w:u w:val="single"/>
        </w:rPr>
        <w:t>_________（注明币种）</w:t>
      </w:r>
      <w:r>
        <w:rPr>
          <w:rFonts w:ascii="Arial" w:hAnsi="Arial"/>
          <w:sz w:val="24"/>
          <w:szCs w:val="20"/>
        </w:rPr>
        <w:t>，即</w:t>
      </w:r>
      <w:r>
        <w:rPr>
          <w:rFonts w:ascii="Arial" w:hAnsi="Arial"/>
          <w:sz w:val="24"/>
          <w:szCs w:val="20"/>
          <w:u w:val="single"/>
        </w:rPr>
        <w:t>___________（文字表述）</w:t>
      </w:r>
      <w:r>
        <w:rPr>
          <w:rFonts w:ascii="Arial" w:hAnsi="Arial"/>
          <w:sz w:val="24"/>
          <w:szCs w:val="20"/>
        </w:rPr>
        <w:t>。</w:t>
      </w:r>
    </w:p>
    <w:p>
      <w:pPr>
        <w:numPr>
          <w:ilvl w:val="0"/>
          <w:numId w:val="11"/>
        </w:numPr>
        <w:snapToGrid w:val="0"/>
        <w:spacing w:line="360" w:lineRule="auto"/>
        <w:rPr>
          <w:rFonts w:ascii="Arial" w:hAnsi="Arial"/>
          <w:sz w:val="24"/>
          <w:szCs w:val="20"/>
        </w:rPr>
      </w:pPr>
      <w:r>
        <w:rPr>
          <w:rFonts w:ascii="Arial" w:hAnsi="Arial"/>
          <w:sz w:val="24"/>
          <w:szCs w:val="20"/>
        </w:rPr>
        <w:t>供应商将按《磋商文件》的规定履行合同责任和义务。</w:t>
      </w:r>
    </w:p>
    <w:p>
      <w:pPr>
        <w:numPr>
          <w:ilvl w:val="0"/>
          <w:numId w:val="11"/>
        </w:numPr>
        <w:snapToGrid w:val="0"/>
        <w:spacing w:line="360" w:lineRule="auto"/>
        <w:rPr>
          <w:rFonts w:ascii="Arial" w:hAnsi="Arial"/>
          <w:sz w:val="24"/>
          <w:szCs w:val="20"/>
        </w:rPr>
      </w:pPr>
      <w:r>
        <w:rPr>
          <w:rFonts w:ascii="Arial" w:hAnsi="Arial"/>
          <w:sz w:val="24"/>
          <w:szCs w:val="20"/>
        </w:rPr>
        <w:t>供应商已详细审查全部《磋商文件》，包括修改文件（如有的话）。我们完全理解并同意放弃对这方面有不明及误解的权利。</w:t>
      </w:r>
    </w:p>
    <w:p>
      <w:pPr>
        <w:numPr>
          <w:ilvl w:val="0"/>
          <w:numId w:val="11"/>
        </w:numPr>
        <w:snapToGrid w:val="0"/>
        <w:spacing w:line="360" w:lineRule="auto"/>
        <w:rPr>
          <w:rFonts w:ascii="Arial" w:hAnsi="Arial"/>
          <w:sz w:val="24"/>
          <w:szCs w:val="20"/>
        </w:rPr>
      </w:pPr>
      <w:r>
        <w:rPr>
          <w:rFonts w:ascii="Arial" w:hAnsi="Arial"/>
          <w:sz w:val="24"/>
          <w:szCs w:val="20"/>
        </w:rPr>
        <w:t>本报价有效期自递交《响应文件》截止日起九十天。</w:t>
      </w:r>
    </w:p>
    <w:p>
      <w:pPr>
        <w:numPr>
          <w:ilvl w:val="0"/>
          <w:numId w:val="11"/>
        </w:numPr>
        <w:snapToGrid w:val="0"/>
        <w:spacing w:line="360" w:lineRule="auto"/>
        <w:rPr>
          <w:rFonts w:ascii="Arial" w:hAnsi="Arial"/>
          <w:sz w:val="24"/>
          <w:szCs w:val="20"/>
        </w:rPr>
      </w:pPr>
      <w:r>
        <w:rPr>
          <w:rFonts w:ascii="Arial" w:hAnsi="Arial"/>
          <w:sz w:val="24"/>
          <w:szCs w:val="20"/>
        </w:rPr>
        <w:t>如果在规定的递交《响应文件》截止后，供应商在报价有效期内撤回《响应文件》，或成交后不签约，其磋商保证金将</w:t>
      </w:r>
      <w:r>
        <w:rPr>
          <w:rFonts w:hint="eastAsia" w:ascii="Arial" w:hAnsi="Arial"/>
          <w:sz w:val="24"/>
          <w:szCs w:val="20"/>
        </w:rPr>
        <w:t>不予退还</w:t>
      </w:r>
      <w:r>
        <w:rPr>
          <w:rFonts w:ascii="Arial" w:hAnsi="Arial"/>
          <w:sz w:val="24"/>
          <w:szCs w:val="20"/>
        </w:rPr>
        <w:t>。</w:t>
      </w:r>
    </w:p>
    <w:p>
      <w:pPr>
        <w:numPr>
          <w:ilvl w:val="0"/>
          <w:numId w:val="11"/>
        </w:numPr>
        <w:snapToGrid w:val="0"/>
        <w:spacing w:line="360" w:lineRule="auto"/>
        <w:rPr>
          <w:rFonts w:ascii="Arial" w:hAnsi="Arial"/>
          <w:sz w:val="24"/>
          <w:szCs w:val="20"/>
        </w:rPr>
      </w:pPr>
      <w:r>
        <w:rPr>
          <w:rFonts w:ascii="Arial" w:hAnsi="Arial"/>
          <w:sz w:val="24"/>
          <w:szCs w:val="20"/>
        </w:rPr>
        <w:t>供应商同意提供，按照贵方要求与磋商应答有关的一切数据或资料，理解贵方不一定接受最低的报价或收到的任何报价。</w:t>
      </w:r>
    </w:p>
    <w:p>
      <w:pPr>
        <w:snapToGrid w:val="0"/>
        <w:spacing w:line="360" w:lineRule="auto"/>
        <w:rPr>
          <w:rFonts w:ascii="Arial" w:hAnsi="Arial"/>
          <w:sz w:val="24"/>
          <w:szCs w:val="20"/>
        </w:rPr>
      </w:pPr>
    </w:p>
    <w:p>
      <w:pPr>
        <w:autoSpaceDE w:val="0"/>
        <w:autoSpaceDN w:val="0"/>
        <w:adjustRightInd w:val="0"/>
        <w:spacing w:line="360" w:lineRule="auto"/>
        <w:ind w:left="482"/>
        <w:jc w:val="left"/>
        <w:rPr>
          <w:rFonts w:ascii="Arial" w:hAnsi="Arial" w:cs="Arial"/>
          <w:b/>
          <w:sz w:val="24"/>
          <w:szCs w:val="20"/>
        </w:rPr>
      </w:pPr>
      <w:r>
        <w:rPr>
          <w:rFonts w:hint="eastAsia" w:ascii="Arial" w:hAnsi="Arial" w:cs="Arial"/>
          <w:b/>
          <w:sz w:val="24"/>
          <w:szCs w:val="20"/>
        </w:rPr>
        <w:t>我方郑重承诺：</w:t>
      </w:r>
    </w:p>
    <w:p>
      <w:pPr>
        <w:snapToGrid w:val="0"/>
        <w:spacing w:line="360" w:lineRule="auto"/>
        <w:ind w:left="482"/>
        <w:rPr>
          <w:rFonts w:ascii="Arial" w:hAnsi="Arial"/>
          <w:sz w:val="24"/>
          <w:szCs w:val="20"/>
        </w:rPr>
      </w:pPr>
      <w:r>
        <w:rPr>
          <w:rFonts w:hint="eastAsia" w:ascii="Arial" w:hAnsi="Arial" w:cs="Arial"/>
          <w:sz w:val="24"/>
          <w:szCs w:val="20"/>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磋商过程中或者在获得成交后，采购人或有管辖权的行政监管机构发现并查实我方在该项目的磋商中所报的资料存在虚假或不真实的信息或者伪造数据、资料或证书等情况，我方将无条件地自动放弃该项目的磋商资格和成交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p>
    <w:p>
      <w:pPr>
        <w:snapToGrid w:val="0"/>
        <w:spacing w:line="360" w:lineRule="auto"/>
        <w:ind w:left="964"/>
        <w:rPr>
          <w:rFonts w:ascii="Arial" w:hAnsi="Arial"/>
          <w:sz w:val="24"/>
          <w:szCs w:val="20"/>
        </w:rPr>
      </w:pPr>
    </w:p>
    <w:p>
      <w:pPr>
        <w:snapToGrid w:val="0"/>
        <w:spacing w:line="360" w:lineRule="auto"/>
        <w:ind w:left="964"/>
        <w:rPr>
          <w:rFonts w:ascii="Arial" w:hAnsi="Arial"/>
          <w:sz w:val="24"/>
          <w:szCs w:val="20"/>
        </w:rPr>
      </w:pPr>
      <w:r>
        <w:rPr>
          <w:rFonts w:ascii="Arial" w:hAnsi="Arial"/>
          <w:sz w:val="24"/>
          <w:szCs w:val="20"/>
        </w:rPr>
        <w:t>与本磋商有关的一切正式往来通讯请寄：</w:t>
      </w:r>
    </w:p>
    <w:p>
      <w:pPr>
        <w:snapToGrid w:val="0"/>
        <w:spacing w:line="360" w:lineRule="auto"/>
        <w:rPr>
          <w:rFonts w:ascii="Arial" w:hAnsi="Arial"/>
          <w:sz w:val="24"/>
          <w:szCs w:val="20"/>
        </w:rPr>
      </w:pPr>
    </w:p>
    <w:p>
      <w:pPr>
        <w:snapToGrid w:val="0"/>
        <w:spacing w:line="360" w:lineRule="auto"/>
        <w:ind w:firstLine="600"/>
        <w:rPr>
          <w:rFonts w:ascii="Arial" w:hAnsi="Arial"/>
          <w:sz w:val="24"/>
          <w:szCs w:val="20"/>
        </w:rPr>
      </w:pPr>
      <w:r>
        <w:rPr>
          <w:rFonts w:ascii="Arial" w:hAnsi="Arial"/>
          <w:sz w:val="24"/>
          <w:szCs w:val="20"/>
        </w:rPr>
        <w:t>地址：_______________   邮编：______________</w:t>
      </w:r>
    </w:p>
    <w:p>
      <w:pPr>
        <w:snapToGrid w:val="0"/>
        <w:spacing w:line="360" w:lineRule="auto"/>
        <w:ind w:firstLine="600"/>
        <w:rPr>
          <w:rFonts w:ascii="Arial" w:hAnsi="Arial"/>
          <w:sz w:val="24"/>
          <w:szCs w:val="20"/>
        </w:rPr>
      </w:pPr>
      <w:r>
        <w:rPr>
          <w:rFonts w:ascii="Arial" w:hAnsi="Arial"/>
          <w:sz w:val="24"/>
          <w:szCs w:val="20"/>
        </w:rPr>
        <w:t>电话：_______________   传真：______________</w:t>
      </w:r>
    </w:p>
    <w:p>
      <w:pPr>
        <w:snapToGrid w:val="0"/>
        <w:spacing w:line="360" w:lineRule="auto"/>
        <w:ind w:firstLine="600"/>
        <w:rPr>
          <w:rFonts w:ascii="Arial" w:hAnsi="Arial"/>
          <w:sz w:val="24"/>
          <w:szCs w:val="20"/>
        </w:rPr>
      </w:pPr>
      <w:r>
        <w:rPr>
          <w:rFonts w:ascii="Arial" w:hAnsi="Arial"/>
          <w:sz w:val="24"/>
          <w:szCs w:val="20"/>
        </w:rPr>
        <w:t>供应商代表签字：____________</w:t>
      </w:r>
    </w:p>
    <w:p>
      <w:pPr>
        <w:snapToGrid w:val="0"/>
        <w:spacing w:line="360" w:lineRule="auto"/>
        <w:ind w:firstLine="600"/>
        <w:rPr>
          <w:rFonts w:ascii="Arial" w:hAnsi="Arial"/>
          <w:sz w:val="24"/>
          <w:szCs w:val="20"/>
        </w:rPr>
      </w:pPr>
      <w:r>
        <w:rPr>
          <w:rFonts w:ascii="Arial" w:hAnsi="Arial"/>
          <w:sz w:val="24"/>
          <w:szCs w:val="20"/>
        </w:rPr>
        <w:t>供应商名称：______________</w:t>
      </w:r>
    </w:p>
    <w:p>
      <w:pPr>
        <w:snapToGrid w:val="0"/>
        <w:spacing w:line="360" w:lineRule="auto"/>
        <w:ind w:firstLine="600"/>
        <w:rPr>
          <w:rFonts w:ascii="Arial" w:hAnsi="Arial"/>
          <w:sz w:val="24"/>
          <w:szCs w:val="20"/>
        </w:rPr>
      </w:pPr>
      <w:r>
        <w:rPr>
          <w:rFonts w:ascii="Arial" w:hAnsi="Arial"/>
          <w:sz w:val="24"/>
          <w:szCs w:val="20"/>
        </w:rPr>
        <w:t>（公章）：___________________</w:t>
      </w:r>
    </w:p>
    <w:p>
      <w:pPr>
        <w:snapToGrid w:val="0"/>
        <w:spacing w:line="360" w:lineRule="auto"/>
        <w:ind w:firstLine="600"/>
        <w:rPr>
          <w:rFonts w:ascii="Arial" w:hAnsi="Arial"/>
          <w:sz w:val="24"/>
          <w:szCs w:val="20"/>
        </w:rPr>
      </w:pPr>
      <w:r>
        <w:rPr>
          <w:rFonts w:ascii="Arial" w:hAnsi="Arial"/>
          <w:sz w:val="24"/>
          <w:szCs w:val="20"/>
        </w:rPr>
        <w:t>日期：_____年___月___日</w:t>
      </w:r>
    </w:p>
    <w:bookmarkEnd w:id="439"/>
    <w:p>
      <w:pPr>
        <w:snapToGrid w:val="0"/>
        <w:spacing w:line="360" w:lineRule="auto"/>
        <w:jc w:val="center"/>
        <w:rPr>
          <w:rFonts w:ascii="Arial" w:hAnsi="Arial"/>
          <w:sz w:val="24"/>
          <w:szCs w:val="20"/>
        </w:rPr>
      </w:pPr>
    </w:p>
    <w:p>
      <w:pPr>
        <w:snapToGrid w:val="0"/>
        <w:spacing w:after="240" w:afterLines="100" w:line="360" w:lineRule="auto"/>
        <w:jc w:val="center"/>
        <w:outlineLvl w:val="0"/>
        <w:rPr>
          <w:rFonts w:ascii="Arial" w:hAnsi="Arial"/>
          <w:b/>
          <w:sz w:val="24"/>
          <w:szCs w:val="20"/>
        </w:rPr>
        <w:sectPr>
          <w:footerReference r:id="rId11" w:type="default"/>
          <w:footerReference r:id="rId12" w:type="even"/>
          <w:type w:val="continuous"/>
          <w:pgSz w:w="11906" w:h="16838"/>
          <w:pgMar w:top="1247" w:right="1681" w:bottom="1247" w:left="1247" w:header="851" w:footer="992" w:gutter="0"/>
          <w:cols w:space="720" w:num="1"/>
          <w:titlePg/>
          <w:docGrid w:linePitch="312" w:charSpace="0"/>
        </w:sectPr>
      </w:pPr>
      <w:bookmarkStart w:id="492" w:name="_Toc85430466"/>
    </w:p>
    <w:bookmarkEnd w:id="492"/>
    <w:p>
      <w:pPr>
        <w:adjustRightInd w:val="0"/>
        <w:snapToGrid w:val="0"/>
        <w:spacing w:after="120" w:afterLines="50" w:line="360" w:lineRule="auto"/>
        <w:jc w:val="center"/>
        <w:rPr>
          <w:rFonts w:ascii="Arial" w:hAnsi="Arial" w:eastAsia="黑体" w:cs="Arial"/>
          <w:sz w:val="30"/>
          <w:szCs w:val="30"/>
        </w:rPr>
      </w:pPr>
      <w:r>
        <w:rPr>
          <w:rFonts w:ascii="Arial" w:hAnsi="Arial" w:eastAsia="黑体" w:cs="Arial"/>
          <w:sz w:val="30"/>
          <w:szCs w:val="30"/>
        </w:rPr>
        <w:t>附件2-1报价一览表</w:t>
      </w:r>
      <w:bookmarkEnd w:id="440"/>
      <w:bookmarkEnd w:id="441"/>
      <w:bookmarkEnd w:id="442"/>
      <w:bookmarkEnd w:id="443"/>
      <w:bookmarkEnd w:id="444"/>
      <w:bookmarkEnd w:id="445"/>
      <w:bookmarkEnd w:id="446"/>
      <w:bookmarkEnd w:id="447"/>
      <w:r>
        <w:rPr>
          <w:rFonts w:ascii="Arial" w:hAnsi="Arial" w:eastAsia="黑体" w:cs="Arial"/>
          <w:sz w:val="30"/>
          <w:szCs w:val="30"/>
        </w:rPr>
        <w:t>格式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6"/>
        <w:spacing w:line="360" w:lineRule="auto"/>
        <w:ind w:firstLine="0"/>
        <w:rPr>
          <w:rFonts w:ascii="Arial" w:hAnsi="Arial" w:eastAsia="仿宋_GB2312" w:cs="Arial"/>
          <w:sz w:val="24"/>
        </w:rPr>
      </w:pPr>
      <w:r>
        <w:rPr>
          <w:rFonts w:ascii="Arial" w:hAnsi="Arial" w:eastAsia="仿宋_GB2312" w:cs="Arial"/>
          <w:sz w:val="24"/>
        </w:rPr>
        <w:t>项目名称：</w:t>
      </w:r>
    </w:p>
    <w:p>
      <w:pPr>
        <w:pStyle w:val="6"/>
        <w:spacing w:line="360" w:lineRule="auto"/>
        <w:ind w:firstLine="0"/>
        <w:rPr>
          <w:rFonts w:ascii="Arial" w:hAnsi="Arial" w:eastAsia="仿宋_GB2312" w:cs="Arial"/>
        </w:rPr>
      </w:pPr>
      <w:r>
        <w:rPr>
          <w:rFonts w:ascii="Arial" w:hAnsi="Arial" w:eastAsia="仿宋_GB2312" w:cs="Arial"/>
          <w:sz w:val="24"/>
        </w:rPr>
        <w:t>招标编号：</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671"/>
        <w:gridCol w:w="2692"/>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5" w:hRule="atLeast"/>
        </w:trPr>
        <w:tc>
          <w:tcPr>
            <w:tcW w:w="3227" w:type="dxa"/>
            <w:vAlign w:val="center"/>
          </w:tcPr>
          <w:p>
            <w:pPr>
              <w:snapToGrid w:val="0"/>
              <w:spacing w:before="120" w:beforeLines="50" w:after="120" w:afterLines="50"/>
              <w:jc w:val="center"/>
              <w:rPr>
                <w:rFonts w:ascii="Arial" w:hAnsi="Arial" w:eastAsia="黑体" w:cs="Arial"/>
                <w:sz w:val="24"/>
              </w:rPr>
            </w:pPr>
            <w:r>
              <w:rPr>
                <w:rFonts w:hint="eastAsia" w:ascii="Arial" w:hAnsi="Arial" w:eastAsia="黑体" w:cs="Arial"/>
                <w:sz w:val="24"/>
              </w:rPr>
              <w:t>供应商</w:t>
            </w:r>
            <w:r>
              <w:rPr>
                <w:rFonts w:ascii="Arial" w:hAnsi="Arial" w:eastAsia="黑体" w:cs="Arial"/>
                <w:sz w:val="24"/>
              </w:rPr>
              <w:t>名称</w:t>
            </w:r>
          </w:p>
        </w:tc>
        <w:tc>
          <w:tcPr>
            <w:tcW w:w="5671" w:type="dxa"/>
            <w:vAlign w:val="center"/>
          </w:tcPr>
          <w:p>
            <w:pPr>
              <w:snapToGrid w:val="0"/>
              <w:jc w:val="center"/>
              <w:rPr>
                <w:rFonts w:ascii="Arial" w:hAnsi="Arial" w:eastAsia="黑体" w:cs="Arial"/>
                <w:sz w:val="24"/>
              </w:rPr>
            </w:pPr>
            <w:r>
              <w:rPr>
                <w:rFonts w:hint="eastAsia" w:ascii="Arial" w:hAnsi="Arial" w:eastAsia="黑体" w:cs="Arial"/>
                <w:sz w:val="24"/>
              </w:rPr>
              <w:t>响应报价</w:t>
            </w:r>
          </w:p>
          <w:p>
            <w:pPr>
              <w:snapToGrid w:val="0"/>
              <w:jc w:val="center"/>
              <w:rPr>
                <w:rFonts w:ascii="Arial" w:hAnsi="Arial" w:eastAsia="黑体" w:cs="Arial"/>
                <w:sz w:val="24"/>
              </w:rPr>
            </w:pPr>
            <w:r>
              <w:rPr>
                <w:rFonts w:hint="eastAsia" w:ascii="Arial" w:hAnsi="Arial" w:eastAsia="黑体" w:cs="Arial"/>
                <w:sz w:val="24"/>
              </w:rPr>
              <w:t>（所有产品在北京新发地市场（http：//www.xinfadi.com.cn/）所公布的每日价格行情的平均价为基准统一下浮或上浮的百分比）</w:t>
            </w:r>
          </w:p>
        </w:tc>
        <w:tc>
          <w:tcPr>
            <w:tcW w:w="2692" w:type="dxa"/>
            <w:vAlign w:val="center"/>
          </w:tcPr>
          <w:p>
            <w:pPr>
              <w:snapToGrid w:val="0"/>
              <w:jc w:val="center"/>
              <w:rPr>
                <w:rFonts w:ascii="Arial" w:hAnsi="Arial" w:eastAsia="黑体" w:cs="Arial"/>
                <w:sz w:val="24"/>
              </w:rPr>
            </w:pPr>
            <w:r>
              <w:rPr>
                <w:rFonts w:ascii="Arial" w:hAnsi="Arial" w:eastAsia="黑体" w:cs="Arial"/>
                <w:sz w:val="24"/>
              </w:rPr>
              <w:t>保证金</w:t>
            </w:r>
          </w:p>
        </w:tc>
        <w:tc>
          <w:tcPr>
            <w:tcW w:w="2693" w:type="dxa"/>
            <w:vAlign w:val="center"/>
          </w:tcPr>
          <w:p>
            <w:pPr>
              <w:snapToGrid w:val="0"/>
              <w:jc w:val="center"/>
              <w:rPr>
                <w:rFonts w:ascii="Arial" w:hAnsi="Arial" w:eastAsia="黑体" w:cs="Arial"/>
                <w:sz w:val="24"/>
              </w:rPr>
            </w:pPr>
            <w:r>
              <w:rPr>
                <w:rFonts w:ascii="Arial" w:hAnsi="Arial" w:eastAsia="黑体" w:cs="Arial"/>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3227" w:type="dxa"/>
            <w:vAlign w:val="center"/>
          </w:tcPr>
          <w:p>
            <w:pPr>
              <w:snapToGrid w:val="0"/>
              <w:jc w:val="center"/>
              <w:rPr>
                <w:rFonts w:ascii="Arial" w:hAnsi="Arial" w:eastAsia="楷体_GB2312" w:cs="Arial"/>
                <w:sz w:val="24"/>
              </w:rPr>
            </w:pPr>
          </w:p>
        </w:tc>
        <w:tc>
          <w:tcPr>
            <w:tcW w:w="5671" w:type="dxa"/>
            <w:vAlign w:val="center"/>
          </w:tcPr>
          <w:p>
            <w:pPr>
              <w:snapToGrid w:val="0"/>
              <w:jc w:val="center"/>
              <w:rPr>
                <w:rFonts w:ascii="Arial" w:hAnsi="Arial" w:cs="Arial"/>
                <w:sz w:val="24"/>
              </w:rPr>
            </w:pPr>
            <w:r>
              <w:rPr>
                <w:rFonts w:hint="eastAsia" w:ascii="Arial" w:hAnsi="Arial" w:cs="Arial"/>
                <w:sz w:val="24"/>
                <w:u w:val="single"/>
              </w:rPr>
              <w:t xml:space="preserve"> </w:t>
            </w:r>
            <w:r>
              <w:rPr>
                <w:rFonts w:ascii="Arial" w:hAnsi="Arial" w:cs="Arial"/>
                <w:sz w:val="24"/>
                <w:u w:val="single"/>
              </w:rPr>
              <w:t xml:space="preserve">      </w:t>
            </w:r>
            <w:r>
              <w:rPr>
                <w:rFonts w:hint="eastAsia" w:ascii="Arial" w:hAnsi="Arial" w:cs="Arial"/>
                <w:sz w:val="24"/>
              </w:rPr>
              <w:t xml:space="preserve">浮（在此处请选择报价是“ 上浮” 或“ 下浮” ） </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w:t>
            </w:r>
          </w:p>
        </w:tc>
        <w:tc>
          <w:tcPr>
            <w:tcW w:w="2692" w:type="dxa"/>
            <w:vAlign w:val="center"/>
          </w:tcPr>
          <w:p>
            <w:pPr>
              <w:snapToGrid w:val="0"/>
              <w:jc w:val="center"/>
              <w:rPr>
                <w:rFonts w:ascii="Arial" w:hAnsi="Arial" w:cs="Arial"/>
                <w:sz w:val="24"/>
              </w:rPr>
            </w:pPr>
            <w:r>
              <w:rPr>
                <w:rFonts w:hint="eastAsia" w:ascii="Arial" w:hAnsi="Arial" w:cs="Arial"/>
                <w:sz w:val="24"/>
              </w:rPr>
              <w:t>有/无</w:t>
            </w:r>
          </w:p>
        </w:tc>
        <w:tc>
          <w:tcPr>
            <w:tcW w:w="2693" w:type="dxa"/>
            <w:vAlign w:val="center"/>
          </w:tcPr>
          <w:p>
            <w:pPr>
              <w:snapToGrid w:val="0"/>
              <w:jc w:val="center"/>
              <w:rPr>
                <w:rFonts w:ascii="Arial" w:hAnsi="Arial" w:eastAsia="楷体_GB2312" w:cs="Arial"/>
                <w:sz w:val="24"/>
              </w:rPr>
            </w:pPr>
          </w:p>
        </w:tc>
      </w:tr>
    </w:tbl>
    <w:p>
      <w:pPr>
        <w:pStyle w:val="148"/>
        <w:adjustRightInd/>
        <w:snapToGrid/>
        <w:spacing w:after="0" w:line="240" w:lineRule="auto"/>
        <w:rPr>
          <w:rFonts w:ascii="Arial" w:hAnsi="Arial" w:eastAsia="仿宋_GB2312" w:cs="Arial"/>
        </w:rPr>
      </w:pPr>
    </w:p>
    <w:p>
      <w:pPr>
        <w:pStyle w:val="148"/>
        <w:adjustRightInd/>
        <w:snapToGrid/>
        <w:spacing w:after="0" w:line="240" w:lineRule="auto"/>
        <w:rPr>
          <w:rFonts w:ascii="Arial" w:hAnsi="Arial" w:eastAsia="仿宋_GB2312" w:cs="Arial"/>
        </w:rPr>
      </w:pPr>
      <w:r>
        <w:rPr>
          <w:rFonts w:hint="eastAsia" w:ascii="Arial" w:hAnsi="Arial" w:eastAsia="仿宋_GB2312" w:cs="Arial"/>
        </w:rPr>
        <w:t>注：</w:t>
      </w:r>
    </w:p>
    <w:p>
      <w:pPr>
        <w:pStyle w:val="148"/>
        <w:adjustRightInd/>
        <w:snapToGrid/>
        <w:spacing w:after="0" w:line="240" w:lineRule="auto"/>
        <w:ind w:firstLine="480" w:firstLineChars="200"/>
        <w:rPr>
          <w:rFonts w:ascii="Arial" w:hAnsi="Arial" w:eastAsia="仿宋_GB2312" w:cs="Arial"/>
        </w:rPr>
      </w:pPr>
      <w:r>
        <w:rPr>
          <w:rFonts w:ascii="Arial" w:hAnsi="Arial" w:eastAsia="仿宋_GB2312" w:cs="Arial"/>
        </w:rPr>
        <w:t>此表应按供应商须知的规定密封、标记并单独提交，以便在磋商时使用。</w:t>
      </w:r>
    </w:p>
    <w:p>
      <w:pPr>
        <w:pStyle w:val="15"/>
        <w:rPr>
          <w:rFonts w:ascii="Arial" w:hAnsi="Arial" w:eastAsia="仿宋_GB2312" w:cs="Arial"/>
          <w:kern w:val="2"/>
          <w:sz w:val="24"/>
          <w:szCs w:val="24"/>
        </w:rPr>
      </w:pPr>
      <w:r>
        <w:rPr>
          <w:rFonts w:hint="eastAsia" w:ascii="Arial" w:hAnsi="Arial" w:eastAsia="仿宋_GB2312" w:cs="Arial"/>
          <w:kern w:val="2"/>
          <w:sz w:val="24"/>
          <w:szCs w:val="24"/>
        </w:rPr>
        <w:t>响应报价最高限价为北京新发地市场（http：//www.xinfadi.com.cn/）所公布的每日价格行情的平均价为基准上浮15%， 超过最高限价的响应报价将被拒绝。</w:t>
      </w:r>
    </w:p>
    <w:p>
      <w:pPr>
        <w:pStyle w:val="15"/>
        <w:rPr>
          <w:rFonts w:ascii="Arial" w:hAnsi="Arial" w:eastAsia="仿宋_GB2312" w:cs="Arial"/>
          <w:kern w:val="2"/>
          <w:sz w:val="24"/>
          <w:szCs w:val="24"/>
        </w:rPr>
      </w:pPr>
      <w:r>
        <w:rPr>
          <w:rFonts w:hint="eastAsia" w:ascii="Arial" w:hAnsi="Arial" w:eastAsia="仿宋_GB2312" w:cs="Arial"/>
          <w:kern w:val="2"/>
          <w:sz w:val="24"/>
          <w:szCs w:val="24"/>
        </w:rPr>
        <w:t>响应报价总价已包括与本次所报产品和伴随服务相关的所有税费以及供应商为完成本项目所发生的一切费用。本表中的响应报价总价金额应与响应分项报价表中的总价金额一致。</w:t>
      </w:r>
    </w:p>
    <w:p>
      <w:pPr>
        <w:pStyle w:val="15"/>
        <w:rPr>
          <w:rFonts w:ascii="Arial" w:hAnsi="Arial" w:eastAsia="仿宋_GB2312" w:cs="Arial"/>
          <w:kern w:val="2"/>
          <w:sz w:val="24"/>
          <w:szCs w:val="24"/>
        </w:rPr>
      </w:pPr>
      <w:r>
        <w:rPr>
          <w:rFonts w:hint="eastAsia" w:ascii="Arial" w:hAnsi="Arial" w:eastAsia="仿宋_GB2312" w:cs="Arial"/>
          <w:kern w:val="2"/>
          <w:sz w:val="24"/>
          <w:szCs w:val="24"/>
        </w:rPr>
        <w:t>除供应商提供的已包含在报价内的与项目采购相关的其他增值服务之外，若供应商在响应文件中主动提出向采购人给予赠品、回扣或者与采购无关的其他商品、服务的，其响应文件在评审过程中按无效处理。</w:t>
      </w:r>
    </w:p>
    <w:p>
      <w:pPr>
        <w:pStyle w:val="148"/>
        <w:numPr>
          <w:ilvl w:val="0"/>
          <w:numId w:val="1"/>
        </w:numPr>
        <w:adjustRightInd/>
        <w:snapToGrid/>
        <w:spacing w:after="0" w:line="240" w:lineRule="auto"/>
        <w:rPr>
          <w:rFonts w:ascii="Arial" w:hAnsi="Arial" w:eastAsia="仿宋_GB2312" w:cs="Arial"/>
        </w:rPr>
      </w:pPr>
      <w:r>
        <w:rPr>
          <w:rFonts w:ascii="Arial" w:hAnsi="Arial" w:eastAsia="仿宋_GB2312" w:cs="Arial"/>
        </w:rPr>
        <w:t>有条件折扣不得填写，评标时也不予考虑。</w:t>
      </w:r>
    </w:p>
    <w:p>
      <w:pPr>
        <w:pStyle w:val="148"/>
        <w:adjustRightInd/>
        <w:snapToGrid/>
        <w:spacing w:after="0"/>
        <w:rPr>
          <w:rFonts w:ascii="Arial" w:hAnsi="Arial" w:cs="Arial"/>
          <w:u w:val="single"/>
        </w:rPr>
      </w:pPr>
      <w:r>
        <w:rPr>
          <w:rFonts w:ascii="Arial" w:hAnsi="Arial" w:cs="Arial"/>
        </w:rPr>
        <w:t>供应商名称：</w:t>
      </w:r>
      <w:r>
        <w:rPr>
          <w:rFonts w:ascii="Arial" w:hAnsi="Arial" w:cs="Arial"/>
          <w:u w:val="single"/>
        </w:rPr>
        <w:t>公章</w:t>
      </w:r>
    </w:p>
    <w:p>
      <w:pPr>
        <w:spacing w:line="360" w:lineRule="auto"/>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rPr>
          <w:rFonts w:ascii="Arial" w:hAnsi="Arial" w:cs="Arial"/>
        </w:rPr>
        <w:sectPr>
          <w:pgSz w:w="16838" w:h="11906" w:orient="landscape"/>
          <w:pgMar w:top="1247" w:right="1247" w:bottom="1247" w:left="1247" w:header="851" w:footer="992" w:gutter="0"/>
          <w:cols w:space="720" w:num="1"/>
          <w:titlePg/>
          <w:docGrid w:linePitch="312" w:charSpace="0"/>
        </w:sectPr>
      </w:pPr>
      <w:r>
        <w:rPr>
          <w:rFonts w:ascii="Arial" w:hAnsi="Arial" w:cs="Arial"/>
        </w:rPr>
        <w:t>日期：</w:t>
      </w:r>
    </w:p>
    <w:p>
      <w:pPr>
        <w:adjustRightInd w:val="0"/>
        <w:snapToGrid w:val="0"/>
        <w:spacing w:after="120" w:afterLines="50" w:line="360" w:lineRule="auto"/>
        <w:ind w:right="338" w:rightChars="161"/>
        <w:jc w:val="center"/>
        <w:rPr>
          <w:rFonts w:ascii="Arial" w:hAnsi="Arial" w:eastAsia="黑体" w:cs="Arial"/>
          <w:sz w:val="30"/>
          <w:szCs w:val="30"/>
        </w:rPr>
      </w:pPr>
      <w:bookmarkStart w:id="493" w:name="_Toc70081227"/>
      <w:bookmarkStart w:id="494" w:name="_Toc524089218"/>
      <w:bookmarkStart w:id="495" w:name="_Toc50893477"/>
      <w:bookmarkStart w:id="496" w:name="_Toc524092700"/>
      <w:bookmarkStart w:id="497" w:name="_Toc8845575"/>
      <w:bookmarkStart w:id="498" w:name="_Toc524092623"/>
      <w:bookmarkStart w:id="499" w:name="_Toc524092803"/>
      <w:bookmarkStart w:id="500" w:name="_Toc509111781"/>
      <w:bookmarkStart w:id="501" w:name="_Toc50985609"/>
      <w:bookmarkStart w:id="502" w:name="_Toc67131249"/>
      <w:bookmarkStart w:id="503" w:name="_Toc52175477"/>
      <w:bookmarkStart w:id="504" w:name="_Toc50985741"/>
      <w:bookmarkStart w:id="505" w:name="_Toc524703847"/>
      <w:bookmarkStart w:id="506" w:name="_Toc50895825"/>
      <w:bookmarkStart w:id="507" w:name="_Toc70081324"/>
      <w:bookmarkStart w:id="508" w:name="_Toc8845662"/>
      <w:bookmarkStart w:id="509" w:name="_Toc524703773"/>
      <w:bookmarkStart w:id="510" w:name="_Toc46107913"/>
      <w:bookmarkStart w:id="511" w:name="_Toc80582207"/>
      <w:bookmarkStart w:id="512" w:name="_Toc50893602"/>
      <w:bookmarkStart w:id="513" w:name="_Toc50893958"/>
      <w:bookmarkStart w:id="514" w:name="_Toc8845735"/>
      <w:bookmarkStart w:id="515" w:name="_Toc524087287"/>
      <w:bookmarkStart w:id="516" w:name="_Toc50893649"/>
      <w:bookmarkStart w:id="517" w:name="_Toc21854778"/>
      <w:bookmarkStart w:id="518" w:name="_Toc524092530"/>
      <w:bookmarkStart w:id="519" w:name="_Toc8845753"/>
      <w:bookmarkStart w:id="520" w:name="_Toc50985480"/>
      <w:bookmarkStart w:id="521" w:name="_Toc82246201"/>
      <w:bookmarkStart w:id="522" w:name="_Toc82246257"/>
      <w:bookmarkStart w:id="523" w:name="_Toc82328642"/>
      <w:bookmarkStart w:id="524" w:name="_Toc82485150"/>
      <w:bookmarkStart w:id="525" w:name="_Toc82502369"/>
      <w:bookmarkStart w:id="526" w:name="_Toc83809640"/>
      <w:bookmarkStart w:id="527" w:name="_Toc83809764"/>
      <w:bookmarkStart w:id="528" w:name="_Toc83810516"/>
      <w:bookmarkStart w:id="529" w:name="_Toc83810787"/>
      <w:bookmarkStart w:id="530" w:name="_Toc163976169"/>
      <w:bookmarkStart w:id="531" w:name="_Toc509110770"/>
      <w:bookmarkStart w:id="532" w:name="_Toc509111523"/>
      <w:bookmarkStart w:id="533" w:name="_Toc87153323"/>
      <w:bookmarkStart w:id="534" w:name="_Toc509379906"/>
      <w:bookmarkStart w:id="535" w:name="_Toc516325288"/>
      <w:bookmarkStart w:id="536" w:name="_Toc516329224"/>
      <w:bookmarkStart w:id="537" w:name="_Toc50985657"/>
      <w:r>
        <w:rPr>
          <w:rFonts w:ascii="Arial" w:hAnsi="Arial" w:eastAsia="黑体" w:cs="Arial"/>
          <w:sz w:val="30"/>
          <w:szCs w:val="30"/>
        </w:rPr>
        <w:t>附件2-2报价一览表格式</w:t>
      </w:r>
    </w:p>
    <w:p>
      <w:pPr>
        <w:pStyle w:val="6"/>
        <w:spacing w:line="360" w:lineRule="auto"/>
        <w:ind w:right="338" w:rightChars="161" w:firstLine="0"/>
        <w:rPr>
          <w:rFonts w:cs="Arial" w:asciiTheme="minorEastAsia" w:hAnsiTheme="minorEastAsia" w:eastAsiaTheme="minorEastAsia"/>
          <w:sz w:val="24"/>
        </w:rPr>
      </w:pPr>
      <w:r>
        <w:rPr>
          <w:rFonts w:cs="Arial" w:asciiTheme="minorEastAsia" w:hAnsiTheme="minorEastAsia" w:eastAsiaTheme="minorEastAsia"/>
          <w:sz w:val="24"/>
        </w:rPr>
        <w:t>项目名称：</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 xml:space="preserve">                                                招标编号：</w:t>
      </w:r>
    </w:p>
    <w:tbl>
      <w:tblPr>
        <w:tblStyle w:val="27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794"/>
        <w:gridCol w:w="1320"/>
        <w:gridCol w:w="1615"/>
        <w:gridCol w:w="1157"/>
        <w:gridCol w:w="1140"/>
        <w:gridCol w:w="1237"/>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794" w:type="dxa"/>
          </w:tcPr>
          <w:p>
            <w:pPr>
              <w:pStyle w:val="271"/>
              <w:spacing w:before="58"/>
              <w:ind w:right="338" w:rightChars="161"/>
              <w:jc w:val="center"/>
              <w:rPr>
                <w:sz w:val="24"/>
              </w:rPr>
            </w:pPr>
            <w:r>
              <w:rPr>
                <w:sz w:val="24"/>
              </w:rPr>
              <w:t>序号</w:t>
            </w:r>
          </w:p>
        </w:tc>
        <w:tc>
          <w:tcPr>
            <w:tcW w:w="794" w:type="dxa"/>
          </w:tcPr>
          <w:p>
            <w:pPr>
              <w:pStyle w:val="271"/>
              <w:spacing w:before="58"/>
              <w:ind w:right="338" w:rightChars="161"/>
              <w:jc w:val="center"/>
              <w:rPr>
                <w:sz w:val="24"/>
              </w:rPr>
            </w:pPr>
            <w:r>
              <w:rPr>
                <w:sz w:val="24"/>
              </w:rPr>
              <w:t>名称</w:t>
            </w:r>
          </w:p>
        </w:tc>
        <w:tc>
          <w:tcPr>
            <w:tcW w:w="1320" w:type="dxa"/>
          </w:tcPr>
          <w:p>
            <w:pPr>
              <w:pStyle w:val="271"/>
              <w:spacing w:before="58"/>
              <w:ind w:right="338" w:rightChars="161"/>
              <w:jc w:val="center"/>
              <w:rPr>
                <w:sz w:val="24"/>
              </w:rPr>
            </w:pPr>
            <w:r>
              <w:rPr>
                <w:sz w:val="24"/>
              </w:rPr>
              <w:t>内容</w:t>
            </w:r>
          </w:p>
        </w:tc>
        <w:tc>
          <w:tcPr>
            <w:tcW w:w="1615" w:type="dxa"/>
          </w:tcPr>
          <w:p>
            <w:pPr>
              <w:pStyle w:val="271"/>
              <w:spacing w:before="58"/>
              <w:ind w:right="338" w:rightChars="161"/>
              <w:jc w:val="center"/>
              <w:rPr>
                <w:sz w:val="24"/>
              </w:rPr>
            </w:pPr>
            <w:r>
              <w:rPr>
                <w:sz w:val="24"/>
              </w:rPr>
              <w:t>描述</w:t>
            </w:r>
          </w:p>
        </w:tc>
        <w:tc>
          <w:tcPr>
            <w:tcW w:w="1157" w:type="dxa"/>
          </w:tcPr>
          <w:p>
            <w:pPr>
              <w:pStyle w:val="271"/>
              <w:spacing w:before="58"/>
              <w:ind w:right="338" w:rightChars="161"/>
              <w:jc w:val="center"/>
              <w:rPr>
                <w:sz w:val="24"/>
              </w:rPr>
            </w:pPr>
            <w:r>
              <w:rPr>
                <w:sz w:val="24"/>
              </w:rPr>
              <w:t>单位</w:t>
            </w:r>
          </w:p>
        </w:tc>
        <w:tc>
          <w:tcPr>
            <w:tcW w:w="1140" w:type="dxa"/>
          </w:tcPr>
          <w:p>
            <w:pPr>
              <w:pStyle w:val="271"/>
              <w:spacing w:before="58"/>
              <w:ind w:right="338" w:rightChars="161"/>
              <w:jc w:val="center"/>
              <w:rPr>
                <w:sz w:val="24"/>
              </w:rPr>
            </w:pPr>
            <w:r>
              <w:rPr>
                <w:sz w:val="24"/>
              </w:rPr>
              <w:t>数量</w:t>
            </w:r>
          </w:p>
        </w:tc>
        <w:tc>
          <w:tcPr>
            <w:tcW w:w="1237" w:type="dxa"/>
          </w:tcPr>
          <w:p>
            <w:pPr>
              <w:pStyle w:val="271"/>
              <w:spacing w:before="58"/>
              <w:ind w:right="338" w:rightChars="161"/>
              <w:jc w:val="center"/>
              <w:rPr>
                <w:sz w:val="24"/>
              </w:rPr>
            </w:pPr>
            <w:r>
              <w:rPr>
                <w:spacing w:val="-30"/>
                <w:sz w:val="24"/>
              </w:rPr>
              <w:t>单价</w:t>
            </w:r>
            <w:r>
              <w:rPr>
                <w:sz w:val="24"/>
              </w:rPr>
              <w:t>（元</w:t>
            </w:r>
            <w:r>
              <w:rPr>
                <w:spacing w:val="-13"/>
                <w:sz w:val="24"/>
              </w:rPr>
              <w:t>）</w:t>
            </w:r>
          </w:p>
        </w:tc>
        <w:tc>
          <w:tcPr>
            <w:tcW w:w="1059" w:type="dxa"/>
          </w:tcPr>
          <w:p>
            <w:pPr>
              <w:pStyle w:val="271"/>
              <w:spacing w:line="313" w:lineRule="exact"/>
              <w:ind w:right="338" w:rightChars="161"/>
              <w:jc w:val="center"/>
              <w:rPr>
                <w:sz w:val="24"/>
              </w:rPr>
            </w:pPr>
            <w:r>
              <w:rPr>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16" w:type="dxa"/>
            <w:gridSpan w:val="8"/>
          </w:tcPr>
          <w:p>
            <w:pPr>
              <w:pStyle w:val="271"/>
              <w:spacing w:line="320" w:lineRule="exact"/>
              <w:ind w:right="338" w:rightChars="161" w:firstLine="480" w:firstLineChars="200"/>
              <w:rPr>
                <w:sz w:val="24"/>
              </w:rPr>
            </w:pPr>
            <w:r>
              <w:rPr>
                <w:sz w:val="24"/>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spacing w:line="320" w:lineRule="exact"/>
              <w:ind w:right="338" w:rightChars="161"/>
              <w:jc w:val="center"/>
              <w:rPr>
                <w:rFonts w:ascii="Noto Sans Mono CJK JP Bold"/>
                <w:sz w:val="24"/>
              </w:rPr>
            </w:pPr>
            <w:r>
              <w:rPr>
                <w:rFonts w:ascii="Noto Sans Mono CJK JP Bold"/>
                <w:sz w:val="24"/>
              </w:rPr>
              <w:t>1.</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spacing w:line="320" w:lineRule="exact"/>
              <w:ind w:right="338" w:rightChars="161"/>
              <w:jc w:val="center"/>
              <w:rPr>
                <w:sz w:val="24"/>
              </w:rPr>
            </w:pPr>
            <w:r>
              <w:rPr>
                <w:w w:val="158"/>
                <w:sz w:val="24"/>
              </w:rPr>
              <w:t>„</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57" w:type="dxa"/>
            <w:gridSpan w:val="7"/>
          </w:tcPr>
          <w:p>
            <w:pPr>
              <w:pStyle w:val="271"/>
              <w:spacing w:line="320" w:lineRule="exact"/>
              <w:ind w:left="420" w:right="338" w:rightChars="161"/>
              <w:jc w:val="center"/>
              <w:rPr>
                <w:sz w:val="24"/>
              </w:rPr>
            </w:pPr>
            <w:r>
              <w:rPr>
                <w:sz w:val="24"/>
              </w:rPr>
              <w:t>合计：</w:t>
            </w: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16" w:type="dxa"/>
            <w:gridSpan w:val="8"/>
          </w:tcPr>
          <w:p>
            <w:pPr>
              <w:pStyle w:val="271"/>
              <w:spacing w:line="320" w:lineRule="exact"/>
              <w:ind w:right="338" w:rightChars="161" w:firstLine="480" w:firstLineChars="200"/>
              <w:rPr>
                <w:rFonts w:ascii="Noto Sans CJK JP Medium" w:eastAsia="Noto Sans CJK JP Medium"/>
                <w:sz w:val="24"/>
              </w:rPr>
            </w:pPr>
            <w:r>
              <w:rPr>
                <w:rFonts w:hint="eastAsia" w:ascii="宋体" w:hAnsi="宋体" w:eastAsia="宋体" w:cs="宋体"/>
                <w:sz w:val="24"/>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794" w:type="dxa"/>
          </w:tcPr>
          <w:p>
            <w:pPr>
              <w:pStyle w:val="271"/>
              <w:spacing w:line="319" w:lineRule="exact"/>
              <w:ind w:right="338" w:rightChars="161"/>
              <w:jc w:val="center"/>
              <w:rPr>
                <w:rFonts w:ascii="Noto Sans Mono CJK JP Bold"/>
                <w:sz w:val="24"/>
              </w:rPr>
            </w:pPr>
            <w:r>
              <w:rPr>
                <w:rFonts w:ascii="Noto Sans Mono CJK JP Bold"/>
                <w:sz w:val="24"/>
              </w:rPr>
              <w:t>1.</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spacing w:line="320" w:lineRule="exact"/>
              <w:ind w:right="338" w:rightChars="161"/>
              <w:jc w:val="center"/>
              <w:rPr>
                <w:sz w:val="24"/>
              </w:rPr>
            </w:pPr>
            <w:r>
              <w:rPr>
                <w:w w:val="158"/>
                <w:sz w:val="24"/>
              </w:rPr>
              <w:t>„</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57" w:type="dxa"/>
            <w:gridSpan w:val="7"/>
          </w:tcPr>
          <w:p>
            <w:pPr>
              <w:pStyle w:val="271"/>
              <w:spacing w:line="320" w:lineRule="exact"/>
              <w:ind w:left="420" w:right="338" w:rightChars="161"/>
              <w:jc w:val="center"/>
              <w:rPr>
                <w:sz w:val="24"/>
              </w:rPr>
            </w:pPr>
            <w:r>
              <w:rPr>
                <w:sz w:val="24"/>
              </w:rPr>
              <w:t>合计：</w:t>
            </w: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16" w:type="dxa"/>
            <w:gridSpan w:val="8"/>
          </w:tcPr>
          <w:p>
            <w:pPr>
              <w:pStyle w:val="271"/>
              <w:spacing w:line="320" w:lineRule="exact"/>
              <w:ind w:left="420" w:right="338" w:rightChars="161"/>
              <w:rPr>
                <w:sz w:val="24"/>
              </w:rPr>
            </w:pPr>
            <w:r>
              <w:rPr>
                <w:sz w:val="24"/>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spacing w:line="320" w:lineRule="exact"/>
              <w:ind w:right="338" w:rightChars="161"/>
              <w:jc w:val="center"/>
              <w:rPr>
                <w:rFonts w:ascii="Noto Sans Mono CJK JP Bold"/>
                <w:sz w:val="24"/>
              </w:rPr>
            </w:pPr>
            <w:r>
              <w:rPr>
                <w:rFonts w:ascii="Noto Sans Mono CJK JP Bold"/>
                <w:sz w:val="24"/>
              </w:rPr>
              <w:t>1.</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spacing w:line="320" w:lineRule="exact"/>
              <w:ind w:right="338" w:rightChars="161"/>
              <w:jc w:val="center"/>
              <w:rPr>
                <w:sz w:val="24"/>
              </w:rPr>
            </w:pPr>
            <w:r>
              <w:rPr>
                <w:w w:val="158"/>
                <w:sz w:val="24"/>
              </w:rPr>
              <w:t>„</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8057" w:type="dxa"/>
            <w:gridSpan w:val="7"/>
          </w:tcPr>
          <w:p>
            <w:pPr>
              <w:pStyle w:val="271"/>
              <w:spacing w:line="318" w:lineRule="exact"/>
              <w:ind w:left="420" w:right="338" w:rightChars="161"/>
              <w:jc w:val="center"/>
              <w:rPr>
                <w:sz w:val="24"/>
              </w:rPr>
            </w:pPr>
            <w:r>
              <w:rPr>
                <w:sz w:val="24"/>
              </w:rPr>
              <w:t>合计：</w:t>
            </w: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116" w:type="dxa"/>
            <w:gridSpan w:val="8"/>
          </w:tcPr>
          <w:p>
            <w:pPr>
              <w:pStyle w:val="271"/>
              <w:spacing w:line="320" w:lineRule="exact"/>
              <w:ind w:left="420" w:right="338" w:rightChars="161"/>
              <w:rPr>
                <w:sz w:val="24"/>
              </w:rPr>
            </w:pPr>
            <w:r>
              <w:rPr>
                <w:sz w:val="24"/>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ind w:right="338" w:rightChars="161"/>
              <w:jc w:val="center"/>
              <w:rPr>
                <w:rFonts w:ascii="Times New Roman"/>
              </w:rPr>
            </w:pPr>
            <w:r>
              <w:rPr>
                <w:rFonts w:ascii="Noto Sans Mono CJK JP Bold"/>
                <w:sz w:val="24"/>
              </w:rPr>
              <w:t>1.</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94" w:type="dxa"/>
          </w:tcPr>
          <w:p>
            <w:pPr>
              <w:pStyle w:val="271"/>
              <w:ind w:right="338" w:rightChars="161"/>
              <w:jc w:val="center"/>
              <w:rPr>
                <w:rFonts w:ascii="Times New Roman"/>
              </w:rPr>
            </w:pPr>
            <w:r>
              <w:rPr>
                <w:w w:val="158"/>
                <w:sz w:val="24"/>
              </w:rPr>
              <w:t>„</w:t>
            </w:r>
          </w:p>
        </w:tc>
        <w:tc>
          <w:tcPr>
            <w:tcW w:w="794" w:type="dxa"/>
          </w:tcPr>
          <w:p>
            <w:pPr>
              <w:pStyle w:val="271"/>
              <w:ind w:right="338" w:rightChars="161"/>
              <w:rPr>
                <w:rFonts w:ascii="Times New Roman"/>
              </w:rPr>
            </w:pPr>
          </w:p>
        </w:tc>
        <w:tc>
          <w:tcPr>
            <w:tcW w:w="1320" w:type="dxa"/>
          </w:tcPr>
          <w:p>
            <w:pPr>
              <w:pStyle w:val="271"/>
              <w:ind w:right="338" w:rightChars="161"/>
              <w:rPr>
                <w:rFonts w:ascii="Times New Roman"/>
              </w:rPr>
            </w:pPr>
          </w:p>
        </w:tc>
        <w:tc>
          <w:tcPr>
            <w:tcW w:w="1615" w:type="dxa"/>
          </w:tcPr>
          <w:p>
            <w:pPr>
              <w:pStyle w:val="271"/>
              <w:ind w:right="338" w:rightChars="161"/>
              <w:rPr>
                <w:rFonts w:ascii="Times New Roman"/>
              </w:rPr>
            </w:pPr>
          </w:p>
        </w:tc>
        <w:tc>
          <w:tcPr>
            <w:tcW w:w="1157" w:type="dxa"/>
          </w:tcPr>
          <w:p>
            <w:pPr>
              <w:pStyle w:val="271"/>
              <w:ind w:right="338" w:rightChars="161"/>
              <w:rPr>
                <w:rFonts w:ascii="Times New Roman"/>
              </w:rPr>
            </w:pPr>
          </w:p>
        </w:tc>
        <w:tc>
          <w:tcPr>
            <w:tcW w:w="1140" w:type="dxa"/>
          </w:tcPr>
          <w:p>
            <w:pPr>
              <w:pStyle w:val="271"/>
              <w:ind w:right="338" w:rightChars="161"/>
              <w:rPr>
                <w:rFonts w:ascii="Times New Roman"/>
              </w:rPr>
            </w:pPr>
          </w:p>
        </w:tc>
        <w:tc>
          <w:tcPr>
            <w:tcW w:w="1237" w:type="dxa"/>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57" w:type="dxa"/>
            <w:gridSpan w:val="7"/>
          </w:tcPr>
          <w:p>
            <w:pPr>
              <w:pStyle w:val="271"/>
              <w:spacing w:line="321" w:lineRule="exact"/>
              <w:ind w:left="420" w:right="338" w:rightChars="161"/>
              <w:jc w:val="center"/>
              <w:rPr>
                <w:sz w:val="24"/>
              </w:rPr>
            </w:pPr>
            <w:r>
              <w:rPr>
                <w:sz w:val="24"/>
              </w:rPr>
              <w:t>合计：</w:t>
            </w: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57" w:type="dxa"/>
            <w:gridSpan w:val="7"/>
          </w:tcPr>
          <w:p>
            <w:pPr>
              <w:pStyle w:val="271"/>
              <w:ind w:right="338" w:rightChars="161"/>
              <w:rPr>
                <w:rFonts w:ascii="Times New Roman"/>
              </w:rPr>
            </w:pPr>
          </w:p>
        </w:tc>
        <w:tc>
          <w:tcPr>
            <w:tcW w:w="1059" w:type="dxa"/>
          </w:tcPr>
          <w:p>
            <w:pPr>
              <w:pStyle w:val="271"/>
              <w:ind w:right="338" w:rightChars="161"/>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57" w:type="dxa"/>
            <w:gridSpan w:val="7"/>
          </w:tcPr>
          <w:p>
            <w:pPr>
              <w:pStyle w:val="271"/>
              <w:spacing w:line="320" w:lineRule="exact"/>
              <w:ind w:left="420" w:right="338" w:rightChars="161"/>
              <w:jc w:val="center"/>
              <w:rPr>
                <w:sz w:val="24"/>
                <w:lang w:eastAsia="zh-CN"/>
              </w:rPr>
            </w:pPr>
            <w:r>
              <w:rPr>
                <w:sz w:val="24"/>
                <w:lang w:eastAsia="zh-CN"/>
              </w:rPr>
              <w:t>总计</w:t>
            </w:r>
            <w:r>
              <w:rPr>
                <w:rFonts w:hint="eastAsia" w:ascii="宋体" w:hAnsi="宋体" w:eastAsia="宋体" w:cs="宋体"/>
                <w:sz w:val="21"/>
                <w:lang w:eastAsia="zh-CN"/>
              </w:rPr>
              <w:t>（</w:t>
            </w:r>
            <w:r>
              <w:rPr>
                <w:rFonts w:hint="eastAsia" w:ascii="宋体" w:hAnsi="宋体" w:eastAsia="宋体" w:cs="宋体"/>
                <w:spacing w:val="-1"/>
                <w:sz w:val="21"/>
                <w:lang w:eastAsia="zh-CN"/>
              </w:rPr>
              <w:t>一至四项汇总金额</w:t>
            </w:r>
            <w:r>
              <w:rPr>
                <w:rFonts w:hint="eastAsia" w:ascii="宋体" w:hAnsi="宋体" w:eastAsia="宋体" w:cs="宋体"/>
                <w:spacing w:val="-103"/>
                <w:sz w:val="21"/>
                <w:lang w:eastAsia="zh-CN"/>
              </w:rPr>
              <w:t>）</w:t>
            </w:r>
            <w:r>
              <w:rPr>
                <w:sz w:val="24"/>
                <w:lang w:eastAsia="zh-CN"/>
              </w:rPr>
              <w:t>：</w:t>
            </w:r>
          </w:p>
        </w:tc>
        <w:tc>
          <w:tcPr>
            <w:tcW w:w="1059" w:type="dxa"/>
          </w:tcPr>
          <w:p>
            <w:pPr>
              <w:pStyle w:val="271"/>
              <w:ind w:right="338" w:rightChars="161"/>
              <w:rPr>
                <w:rFonts w:ascii="Times New Roman"/>
                <w:lang w:eastAsia="zh-CN"/>
              </w:rPr>
            </w:pPr>
          </w:p>
        </w:tc>
      </w:tr>
    </w:tbl>
    <w:p>
      <w:pPr>
        <w:pStyle w:val="148"/>
        <w:adjustRightInd/>
        <w:snapToGrid/>
        <w:spacing w:after="0" w:line="240" w:lineRule="auto"/>
        <w:ind w:right="338" w:rightChars="161"/>
        <w:rPr>
          <w:rFonts w:ascii="Arial" w:hAnsi="Arial" w:eastAsia="仿宋_GB2312" w:cs="Arial"/>
        </w:rPr>
      </w:pPr>
      <w:r>
        <w:rPr>
          <w:rFonts w:hint="eastAsia" w:ascii="Arial" w:hAnsi="Arial" w:eastAsia="仿宋_GB2312" w:cs="Arial"/>
        </w:rPr>
        <w:t>注：</w:t>
      </w:r>
      <w:r>
        <w:rPr>
          <w:rFonts w:ascii="Arial" w:hAnsi="Arial" w:eastAsia="仿宋_GB2312" w:cs="Arial"/>
        </w:rPr>
        <w:t>此表应按供应商须知的规定密封、标记并单独提交，以便在磋商时使用。</w:t>
      </w:r>
    </w:p>
    <w:p>
      <w:pPr>
        <w:pStyle w:val="148"/>
        <w:numPr>
          <w:ilvl w:val="0"/>
          <w:numId w:val="44"/>
        </w:numPr>
        <w:spacing w:line="240" w:lineRule="auto"/>
        <w:ind w:right="338" w:rightChars="161"/>
        <w:rPr>
          <w:rFonts w:ascii="Arial" w:hAnsi="Arial" w:eastAsia="仿宋_GB2312" w:cs="Arial"/>
        </w:rPr>
      </w:pPr>
      <w:r>
        <w:rPr>
          <w:rFonts w:hint="eastAsia" w:ascii="Arial" w:hAnsi="Arial" w:eastAsia="仿宋_GB2312" w:cs="Arial"/>
        </w:rPr>
        <w:t>表格可根据实际需求自行调整，但须对整体报价作出分项报价明细，以便评审委员会评估价格的合理性，本项目不接受无分项报价。响应方应将本表单独密封提交（放在一个单独的信封内），并在信封上标明“报价表”字样；</w:t>
      </w:r>
    </w:p>
    <w:p>
      <w:pPr>
        <w:pStyle w:val="148"/>
        <w:numPr>
          <w:ilvl w:val="0"/>
          <w:numId w:val="44"/>
        </w:numPr>
        <w:spacing w:line="240" w:lineRule="auto"/>
        <w:ind w:right="338" w:rightChars="161"/>
        <w:rPr>
          <w:rFonts w:ascii="Arial" w:hAnsi="Arial" w:eastAsia="仿宋_GB2312" w:cs="Arial"/>
        </w:rPr>
      </w:pPr>
      <w:r>
        <w:rPr>
          <w:rFonts w:hint="eastAsia" w:ascii="Arial" w:hAnsi="Arial" w:eastAsia="仿宋_GB2312" w:cs="Arial"/>
        </w:rPr>
        <w:t>报价应清晰体现项目需求书中各项任务的具体价格情况；</w:t>
      </w:r>
    </w:p>
    <w:p>
      <w:pPr>
        <w:pStyle w:val="148"/>
        <w:numPr>
          <w:ilvl w:val="0"/>
          <w:numId w:val="44"/>
        </w:numPr>
        <w:spacing w:line="240" w:lineRule="auto"/>
        <w:ind w:right="338" w:rightChars="161"/>
        <w:rPr>
          <w:rFonts w:ascii="Arial" w:hAnsi="Arial" w:eastAsia="仿宋_GB2312" w:cs="Arial"/>
        </w:rPr>
      </w:pPr>
      <w:r>
        <w:rPr>
          <w:rFonts w:hint="eastAsia" w:ascii="Arial" w:hAnsi="Arial" w:eastAsia="仿宋_GB2312" w:cs="Arial"/>
        </w:rPr>
        <w:t>响应供应商可根据实际情况自行扩展表格细项。需要说明请于备注格填写。</w:t>
      </w:r>
    </w:p>
    <w:p>
      <w:pPr>
        <w:pStyle w:val="148"/>
        <w:numPr>
          <w:ilvl w:val="0"/>
          <w:numId w:val="44"/>
        </w:numPr>
        <w:spacing w:line="240" w:lineRule="auto"/>
        <w:ind w:right="338" w:rightChars="161"/>
        <w:rPr>
          <w:rFonts w:ascii="Arial" w:hAnsi="Arial" w:eastAsia="仿宋_GB2312" w:cs="Arial"/>
        </w:rPr>
      </w:pPr>
      <w:r>
        <w:rPr>
          <w:rFonts w:ascii="仿宋" w:hAnsi="仿宋" w:eastAsia="仿宋" w:cs="仿宋"/>
        </w:rPr>
        <w:t>供应商每次报价均需提供本表的电子版（</w:t>
      </w:r>
      <w:r>
        <w:rPr>
          <w:rFonts w:ascii="Arial" w:hAnsi="Arial" w:eastAsia="Arial" w:cs="Arial"/>
        </w:rPr>
        <w:t>excel</w:t>
      </w:r>
      <w:r>
        <w:rPr>
          <w:rFonts w:ascii="Arial" w:hAnsi="Arial" w:eastAsia="Arial" w:cs="Arial"/>
          <w:spacing w:val="-24"/>
        </w:rPr>
        <w:t xml:space="preserve"> </w:t>
      </w:r>
      <w:r>
        <w:rPr>
          <w:rFonts w:ascii="仿宋" w:hAnsi="仿宋" w:eastAsia="仿宋" w:cs="仿宋"/>
        </w:rPr>
        <w:t>格式，可复制），以供统计使用</w:t>
      </w:r>
      <w:r>
        <w:rPr>
          <w:rFonts w:hint="eastAsia" w:ascii="仿宋" w:hAnsi="仿宋" w:eastAsia="仿宋" w:cs="仿宋"/>
        </w:rPr>
        <w:t>。</w:t>
      </w: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公章</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ind w:right="338" w:rightChars="161"/>
        <w:rPr>
          <w:rFonts w:ascii="Arial" w:hAnsi="Arial" w:cs="Arial"/>
          <w:u w:val="single"/>
        </w:rPr>
      </w:pPr>
      <w:r>
        <w:rPr>
          <w:rFonts w:ascii="Arial" w:hAnsi="Arial" w:cs="Arial"/>
        </w:rPr>
        <w:t>日期：</w:t>
      </w:r>
    </w:p>
    <w:p>
      <w:pPr>
        <w:pStyle w:val="148"/>
        <w:adjustRightInd/>
        <w:snapToGrid/>
        <w:spacing w:after="0"/>
        <w:rPr>
          <w:rFonts w:ascii="Arial" w:hAnsi="Arial" w:eastAsia="仿宋_GB2312" w:cs="Arial"/>
        </w:rPr>
      </w:pPr>
    </w:p>
    <w:p>
      <w:pPr>
        <w:pStyle w:val="148"/>
        <w:adjustRightInd/>
        <w:snapToGrid/>
        <w:spacing w:after="0"/>
        <w:jc w:val="center"/>
        <w:rPr>
          <w:rFonts w:ascii="Arial" w:hAnsi="Arial" w:eastAsia="黑体" w:cs="Arial"/>
          <w:sz w:val="30"/>
          <w:szCs w:val="30"/>
        </w:rPr>
        <w:sectPr>
          <w:pgSz w:w="11906" w:h="16838"/>
          <w:pgMar w:top="1247" w:right="1247" w:bottom="1247" w:left="1247" w:header="851" w:footer="992" w:gutter="0"/>
          <w:cols w:space="720" w:num="1"/>
          <w:titlePg/>
          <w:docGrid w:linePitch="312" w:charSpace="0"/>
        </w:sectPr>
      </w:pPr>
    </w:p>
    <w:p>
      <w:pPr>
        <w:pStyle w:val="148"/>
        <w:adjustRightInd/>
        <w:snapToGrid/>
        <w:spacing w:after="0"/>
        <w:jc w:val="center"/>
        <w:rPr>
          <w:rFonts w:ascii="Arial" w:hAnsi="Arial" w:eastAsia="黑体" w:cs="Arial"/>
          <w:sz w:val="30"/>
          <w:szCs w:val="30"/>
        </w:rPr>
      </w:pPr>
      <w:r>
        <w:rPr>
          <w:rFonts w:ascii="Arial" w:hAnsi="Arial" w:eastAsia="黑体" w:cs="Arial"/>
          <w:sz w:val="30"/>
          <w:szCs w:val="30"/>
        </w:rPr>
        <w:t>附件3供应商退款银行信息表格式</w:t>
      </w:r>
    </w:p>
    <w:p>
      <w:pPr>
        <w:pStyle w:val="6"/>
        <w:spacing w:line="360" w:lineRule="auto"/>
        <w:ind w:firstLine="0"/>
        <w:rPr>
          <w:rFonts w:ascii="Arial" w:hAnsi="Arial" w:eastAsia="仿宋_GB2312" w:cs="Arial"/>
          <w:sz w:val="24"/>
        </w:rPr>
      </w:pPr>
      <w:r>
        <w:rPr>
          <w:rFonts w:ascii="Arial" w:hAnsi="Arial" w:eastAsia="仿宋_GB2312" w:cs="Arial"/>
          <w:sz w:val="24"/>
        </w:rPr>
        <w:t>招标编号：</w:t>
      </w:r>
    </w:p>
    <w:p>
      <w:pPr>
        <w:pStyle w:val="6"/>
        <w:spacing w:line="360" w:lineRule="auto"/>
        <w:ind w:firstLine="0"/>
        <w:rPr>
          <w:rFonts w:ascii="Arial" w:hAnsi="Arial" w:eastAsia="仿宋_GB2312" w:cs="Arial"/>
        </w:rPr>
      </w:pPr>
      <w:r>
        <w:rPr>
          <w:rFonts w:ascii="Arial" w:hAnsi="Arial" w:eastAsia="仿宋_GB2312" w:cs="Arial"/>
          <w:sz w:val="24"/>
        </w:rPr>
        <w:t>项目名称：</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4962"/>
        <w:gridCol w:w="5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5" w:type="dxa"/>
          </w:tcPr>
          <w:p>
            <w:pPr>
              <w:pStyle w:val="148"/>
              <w:spacing w:before="120" w:beforeLines="50" w:after="120" w:afterLines="50" w:line="240" w:lineRule="auto"/>
              <w:jc w:val="center"/>
              <w:rPr>
                <w:rFonts w:ascii="Arial" w:hAnsi="Arial" w:eastAsia="黑体" w:cs="Arial"/>
              </w:rPr>
            </w:pPr>
            <w:r>
              <w:rPr>
                <w:rFonts w:ascii="Arial" w:hAnsi="Arial" w:eastAsia="黑体" w:cs="Arial"/>
              </w:rPr>
              <w:t>提交保证金金额</w:t>
            </w:r>
          </w:p>
        </w:tc>
        <w:tc>
          <w:tcPr>
            <w:tcW w:w="4962" w:type="dxa"/>
            <w:vAlign w:val="center"/>
          </w:tcPr>
          <w:p>
            <w:pPr>
              <w:pStyle w:val="148"/>
              <w:spacing w:before="120" w:beforeLines="50" w:after="120" w:afterLines="50" w:line="240" w:lineRule="auto"/>
              <w:jc w:val="center"/>
              <w:rPr>
                <w:rFonts w:ascii="Arial" w:hAnsi="Arial" w:eastAsia="黑体" w:cs="Arial"/>
              </w:rPr>
            </w:pPr>
            <w:r>
              <w:rPr>
                <w:rFonts w:ascii="Arial" w:hAnsi="Arial" w:eastAsia="黑体" w:cs="Arial"/>
              </w:rPr>
              <w:t>退款银行名称</w:t>
            </w:r>
          </w:p>
        </w:tc>
        <w:tc>
          <w:tcPr>
            <w:tcW w:w="5026" w:type="dxa"/>
            <w:vAlign w:val="center"/>
          </w:tcPr>
          <w:p>
            <w:pPr>
              <w:pStyle w:val="148"/>
              <w:spacing w:before="120" w:beforeLines="50" w:after="120" w:afterLines="50" w:line="240" w:lineRule="auto"/>
              <w:jc w:val="center"/>
              <w:rPr>
                <w:rFonts w:ascii="Arial" w:hAnsi="Arial" w:eastAsia="黑体" w:cs="Arial"/>
              </w:rPr>
            </w:pPr>
            <w:r>
              <w:rPr>
                <w:rFonts w:ascii="Arial" w:hAnsi="Arial" w:eastAsia="黑体" w:cs="Arial"/>
              </w:rPr>
              <w:t>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505" w:type="dxa"/>
          </w:tcPr>
          <w:p>
            <w:pPr>
              <w:spacing w:line="400" w:lineRule="exact"/>
              <w:jc w:val="center"/>
              <w:rPr>
                <w:rFonts w:ascii="Arial" w:hAnsi="Arial" w:eastAsia="仿宋_GB2312" w:cs="Arial"/>
              </w:rPr>
            </w:pPr>
          </w:p>
        </w:tc>
        <w:tc>
          <w:tcPr>
            <w:tcW w:w="4962" w:type="dxa"/>
            <w:vAlign w:val="center"/>
          </w:tcPr>
          <w:p>
            <w:pPr>
              <w:spacing w:line="400" w:lineRule="exact"/>
              <w:jc w:val="center"/>
              <w:rPr>
                <w:rFonts w:ascii="Arial" w:hAnsi="Arial" w:eastAsia="仿宋_GB2312" w:cs="Arial"/>
              </w:rPr>
            </w:pPr>
          </w:p>
        </w:tc>
        <w:tc>
          <w:tcPr>
            <w:tcW w:w="5026" w:type="dxa"/>
            <w:vAlign w:val="center"/>
          </w:tcPr>
          <w:p>
            <w:pPr>
              <w:spacing w:line="400" w:lineRule="exact"/>
              <w:jc w:val="center"/>
              <w:rPr>
                <w:rFonts w:ascii="Arial" w:hAnsi="Arial" w:eastAsia="仿宋_GB2312" w:cs="Arial"/>
              </w:rPr>
            </w:pPr>
          </w:p>
        </w:tc>
      </w:tr>
    </w:tbl>
    <w:p>
      <w:pPr>
        <w:pStyle w:val="148"/>
        <w:adjustRightInd/>
        <w:snapToGrid/>
        <w:spacing w:after="0"/>
        <w:rPr>
          <w:rFonts w:ascii="Arial" w:hAnsi="Arial" w:eastAsia="仿宋_GB2312" w:cs="Arial"/>
        </w:rPr>
      </w:pPr>
      <w:r>
        <w:rPr>
          <w:rFonts w:ascii="Arial" w:hAnsi="Arial" w:eastAsia="仿宋_GB2312" w:cs="Arial"/>
        </w:rPr>
        <w:t>注：此表应按供应商须知的规定与磋商保证金一同密封、标记并单独提交，以便招标机构能及时向未入围的供应商退款。</w:t>
      </w:r>
    </w:p>
    <w:p>
      <w:pPr>
        <w:spacing w:line="360" w:lineRule="auto"/>
        <w:ind w:firstLine="482" w:firstLineChars="200"/>
        <w:rPr>
          <w:rFonts w:ascii="Arial" w:hAnsi="Arial" w:cs="Arial"/>
          <w:b/>
          <w:sz w:val="24"/>
        </w:rPr>
      </w:pPr>
      <w:r>
        <w:rPr>
          <w:rFonts w:ascii="Arial" w:hAnsi="Arial" w:cs="Arial"/>
          <w:b/>
          <w:sz w:val="24"/>
        </w:rPr>
        <w:t>如果中标，请贵司开具以下服务费发票：请在（）中划√</w:t>
      </w:r>
    </w:p>
    <w:p>
      <w:pPr>
        <w:spacing w:line="360" w:lineRule="auto"/>
        <w:ind w:firstLine="482" w:firstLineChars="200"/>
        <w:rPr>
          <w:rFonts w:ascii="Arial" w:hAnsi="Arial" w:cs="Arial"/>
          <w:b/>
          <w:sz w:val="24"/>
        </w:rPr>
      </w:pPr>
      <w:r>
        <w:rPr>
          <w:rFonts w:ascii="Arial" w:hAnsi="Arial" w:cs="Arial"/>
          <w:b/>
          <w:sz w:val="24"/>
        </w:rPr>
        <w:t>（）增值税普通发票（）增值税专用发票</w:t>
      </w:r>
    </w:p>
    <w:p>
      <w:pPr>
        <w:spacing w:line="360" w:lineRule="auto"/>
        <w:ind w:firstLine="482" w:firstLineChars="200"/>
        <w:rPr>
          <w:rFonts w:ascii="Arial" w:hAnsi="Arial" w:cs="Arial"/>
          <w:b/>
          <w:sz w:val="24"/>
        </w:rPr>
      </w:pPr>
      <w:r>
        <w:rPr>
          <w:rFonts w:ascii="Arial" w:hAnsi="Arial" w:cs="Arial"/>
          <w:b/>
          <w:sz w:val="24"/>
        </w:rPr>
        <w:t>如果选择开具增值税专用发票，提供以下信息，如不提供，视为开具普通发票：</w:t>
      </w:r>
    </w:p>
    <w:p>
      <w:pPr>
        <w:spacing w:line="360" w:lineRule="auto"/>
        <w:ind w:firstLine="482" w:firstLineChars="200"/>
        <w:rPr>
          <w:rFonts w:ascii="Arial" w:hAnsi="Arial" w:cs="Arial"/>
          <w:b/>
          <w:kern w:val="0"/>
          <w:sz w:val="24"/>
        </w:rPr>
      </w:pPr>
      <w:r>
        <w:rPr>
          <w:rFonts w:ascii="Arial" w:hAnsi="Arial" w:cs="Arial"/>
          <w:b/>
          <w:kern w:val="0"/>
          <w:sz w:val="24"/>
        </w:rPr>
        <w:t>单位全称：纳税人识别号：</w:t>
      </w:r>
    </w:p>
    <w:p>
      <w:pPr>
        <w:spacing w:line="360" w:lineRule="auto"/>
        <w:ind w:firstLine="482" w:firstLineChars="200"/>
        <w:rPr>
          <w:rFonts w:ascii="Arial" w:hAnsi="Arial" w:cs="Arial"/>
          <w:b/>
          <w:kern w:val="0"/>
          <w:sz w:val="24"/>
        </w:rPr>
      </w:pPr>
      <w:r>
        <w:rPr>
          <w:rFonts w:ascii="Arial" w:hAnsi="Arial" w:cs="Arial"/>
          <w:b/>
          <w:kern w:val="0"/>
          <w:sz w:val="24"/>
        </w:rPr>
        <w:t>地址：电话：</w:t>
      </w:r>
    </w:p>
    <w:p>
      <w:pPr>
        <w:spacing w:line="360" w:lineRule="auto"/>
        <w:ind w:firstLine="482" w:firstLineChars="200"/>
        <w:rPr>
          <w:rFonts w:ascii="Arial" w:hAnsi="Arial" w:cs="Arial"/>
          <w:b/>
          <w:sz w:val="24"/>
        </w:rPr>
      </w:pPr>
      <w:r>
        <w:rPr>
          <w:rFonts w:ascii="Arial" w:hAnsi="Arial" w:cs="Arial"/>
          <w:b/>
          <w:kern w:val="0"/>
          <w:sz w:val="24"/>
        </w:rPr>
        <w:t>开户行：账号：</w:t>
      </w:r>
    </w:p>
    <w:p>
      <w:pPr>
        <w:pStyle w:val="148"/>
        <w:adjustRightInd/>
        <w:snapToGrid/>
        <w:spacing w:after="0"/>
        <w:rPr>
          <w:rFonts w:ascii="Arial" w:hAnsi="Arial" w:cs="Arial"/>
        </w:rPr>
      </w:pPr>
      <w:r>
        <w:rPr>
          <w:rFonts w:ascii="Arial" w:hAnsi="Arial" w:cs="Arial"/>
          <w:b/>
          <w:kern w:val="0"/>
        </w:rPr>
        <w:t>附：一般纳税人资格证书(证明)复印件，或国家税务局网站一般纳税人资格查询截图。</w:t>
      </w:r>
    </w:p>
    <w:p>
      <w:pPr>
        <w:pStyle w:val="148"/>
        <w:adjustRightInd/>
        <w:snapToGrid/>
        <w:spacing w:after="0"/>
        <w:rPr>
          <w:rFonts w:ascii="Arial" w:hAnsi="Arial" w:cs="Arial"/>
          <w:u w:val="single"/>
        </w:rPr>
      </w:pPr>
      <w:r>
        <w:rPr>
          <w:rFonts w:ascii="Arial" w:hAnsi="Arial" w:cs="Arial"/>
        </w:rPr>
        <w:t>供应商名称：</w:t>
      </w:r>
      <w:r>
        <w:rPr>
          <w:rFonts w:ascii="Arial" w:hAnsi="Arial" w:cs="Arial"/>
          <w:u w:val="single"/>
        </w:rPr>
        <w:t>公章</w:t>
      </w:r>
    </w:p>
    <w:p>
      <w:pPr>
        <w:spacing w:line="360" w:lineRule="auto"/>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rPr>
          <w:rFonts w:ascii="Arial" w:hAnsi="Arial" w:eastAsia="仿宋_GB2312" w:cs="Arial"/>
        </w:rPr>
      </w:pPr>
      <w:r>
        <w:rPr>
          <w:rFonts w:ascii="Arial" w:hAnsi="Arial" w:cs="Arial"/>
        </w:rPr>
        <w:t>日期：</w:t>
      </w:r>
    </w:p>
    <w:p>
      <w:pPr>
        <w:pStyle w:val="148"/>
        <w:adjustRightInd/>
        <w:snapToGrid/>
        <w:spacing w:after="0"/>
        <w:jc w:val="center"/>
        <w:rPr>
          <w:rFonts w:ascii="Arial" w:hAnsi="Arial" w:eastAsia="黑体" w:cs="Arial"/>
          <w:sz w:val="30"/>
          <w:szCs w:val="30"/>
        </w:rPr>
        <w:sectPr>
          <w:pgSz w:w="16838" w:h="11906" w:orient="landscape"/>
          <w:pgMar w:top="1247" w:right="1247" w:bottom="1247" w:left="1247" w:header="851" w:footer="992" w:gutter="0"/>
          <w:cols w:space="720" w:num="1"/>
          <w:titlePg/>
          <w:docGrid w:linePitch="312" w:charSpace="0"/>
        </w:sectPr>
      </w:pPr>
      <w:bookmarkStart w:id="538" w:name="_Toc184437994"/>
      <w:bookmarkStart w:id="539" w:name="_Toc185326901"/>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adjustRightInd w:val="0"/>
        <w:snapToGrid w:val="0"/>
        <w:spacing w:line="360" w:lineRule="auto"/>
        <w:jc w:val="center"/>
        <w:rPr>
          <w:rFonts w:ascii="Arial" w:hAnsi="Arial" w:eastAsia="黑体" w:cs="Arial"/>
          <w:sz w:val="30"/>
          <w:szCs w:val="30"/>
        </w:rPr>
      </w:pPr>
      <w:bookmarkStart w:id="540" w:name="_Toc524087288"/>
      <w:bookmarkStart w:id="541" w:name="_Toc516329225"/>
      <w:bookmarkStart w:id="542" w:name="_Toc516328252"/>
      <w:bookmarkStart w:id="543" w:name="_Toc516325289"/>
      <w:bookmarkStart w:id="544" w:name="_Toc509381447"/>
      <w:bookmarkStart w:id="545" w:name="_Toc509379907"/>
      <w:bookmarkStart w:id="546" w:name="_Toc524089219"/>
      <w:bookmarkStart w:id="547" w:name="_Toc509111897"/>
      <w:bookmarkStart w:id="548" w:name="_Toc509111783"/>
      <w:bookmarkStart w:id="549" w:name="_Toc524089044"/>
      <w:bookmarkStart w:id="550" w:name="_Toc524092701"/>
      <w:bookmarkStart w:id="551" w:name="_Toc524092531"/>
      <w:bookmarkStart w:id="552" w:name="_Toc167105247"/>
      <w:bookmarkStart w:id="553" w:name="_Toc185326902"/>
      <w:bookmarkStart w:id="554" w:name="_Toc184437995"/>
      <w:bookmarkStart w:id="555" w:name="_Toc163976170"/>
      <w:bookmarkStart w:id="556" w:name="_Toc163975922"/>
      <w:bookmarkStart w:id="557" w:name="_Toc163975864"/>
      <w:bookmarkStart w:id="558" w:name="_Toc163975797"/>
      <w:bookmarkStart w:id="559" w:name="_Toc163975724"/>
      <w:bookmarkStart w:id="560" w:name="_Toc163975561"/>
      <w:bookmarkStart w:id="561" w:name="_Toc83810788"/>
      <w:bookmarkStart w:id="562" w:name="_Toc83809641"/>
      <w:bookmarkStart w:id="563" w:name="_Toc83810517"/>
      <w:bookmarkStart w:id="564" w:name="_Toc83809765"/>
      <w:bookmarkStart w:id="565" w:name="_Toc82502370"/>
      <w:bookmarkStart w:id="566" w:name="_Toc82485151"/>
      <w:bookmarkStart w:id="567" w:name="_Toc82328643"/>
      <w:bookmarkStart w:id="568" w:name="_Toc82246258"/>
      <w:bookmarkStart w:id="569" w:name="_Toc82246202"/>
      <w:bookmarkStart w:id="570" w:name="_Toc80582208"/>
      <w:bookmarkStart w:id="571" w:name="_Toc70081325"/>
      <w:bookmarkStart w:id="572" w:name="_Toc52175478"/>
      <w:bookmarkStart w:id="573" w:name="_Toc70081228"/>
      <w:bookmarkStart w:id="574" w:name="_Toc67131250"/>
      <w:bookmarkStart w:id="575" w:name="_Toc50985742"/>
      <w:bookmarkStart w:id="576" w:name="_Toc50985658"/>
      <w:bookmarkStart w:id="577" w:name="_Toc50985610"/>
      <w:bookmarkStart w:id="578" w:name="_Toc50985481"/>
      <w:bookmarkStart w:id="579" w:name="_Toc50895826"/>
      <w:bookmarkStart w:id="580" w:name="_Toc50893959"/>
      <w:bookmarkStart w:id="581" w:name="_Toc50893650"/>
      <w:bookmarkStart w:id="582" w:name="_Toc46107914"/>
      <w:bookmarkStart w:id="583" w:name="_Toc50893603"/>
      <w:bookmarkStart w:id="584" w:name="_Toc50893478"/>
      <w:bookmarkStart w:id="585" w:name="_Toc21854779"/>
      <w:bookmarkStart w:id="586" w:name="_Toc8845754"/>
      <w:bookmarkStart w:id="587" w:name="_Toc8845736"/>
      <w:bookmarkStart w:id="588" w:name="_Toc8845663"/>
      <w:bookmarkStart w:id="589" w:name="_Toc8845576"/>
      <w:bookmarkStart w:id="590" w:name="_Toc524703848"/>
      <w:bookmarkStart w:id="591" w:name="_Toc524703774"/>
      <w:bookmarkStart w:id="592" w:name="_Toc524092624"/>
      <w:bookmarkStart w:id="593" w:name="_Toc524092804"/>
      <w:bookmarkStart w:id="594" w:name="_Hlt524092389"/>
      <w:r>
        <w:rPr>
          <w:rFonts w:ascii="Arial" w:hAnsi="Arial" w:eastAsia="黑体" w:cs="Arial"/>
          <w:sz w:val="30"/>
          <w:szCs w:val="30"/>
        </w:rPr>
        <w:t>附件4技术规格偏离表</w:t>
      </w:r>
      <w:bookmarkEnd w:id="540"/>
      <w:bookmarkEnd w:id="541"/>
      <w:bookmarkEnd w:id="542"/>
      <w:bookmarkEnd w:id="543"/>
      <w:bookmarkEnd w:id="544"/>
      <w:bookmarkEnd w:id="545"/>
      <w:bookmarkEnd w:id="546"/>
      <w:bookmarkEnd w:id="547"/>
      <w:bookmarkEnd w:id="548"/>
      <w:bookmarkEnd w:id="549"/>
      <w:r>
        <w:rPr>
          <w:rFonts w:ascii="Arial" w:hAnsi="Arial" w:eastAsia="黑体" w:cs="Arial"/>
          <w:sz w:val="30"/>
          <w:szCs w:val="30"/>
        </w:rPr>
        <w:t>格式</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bookmarkEnd w:id="594"/>
    <w:p>
      <w:pPr>
        <w:pStyle w:val="6"/>
        <w:ind w:firstLine="0"/>
        <w:rPr>
          <w:rFonts w:ascii="Arial" w:hAnsi="Arial" w:eastAsia="仿宋_GB2312" w:cs="Arial"/>
          <w:sz w:val="24"/>
        </w:rPr>
      </w:pPr>
      <w:r>
        <w:rPr>
          <w:rFonts w:ascii="Arial" w:hAnsi="Arial" w:eastAsia="仿宋_GB2312" w:cs="Arial"/>
          <w:sz w:val="24"/>
        </w:rPr>
        <w:t>招标编号：</w:t>
      </w:r>
    </w:p>
    <w:p>
      <w:pPr>
        <w:pStyle w:val="6"/>
        <w:ind w:firstLine="0"/>
        <w:rPr>
          <w:rFonts w:ascii="Arial" w:hAnsi="Arial" w:eastAsia="仿宋_GB2312" w:cs="Arial"/>
        </w:rPr>
      </w:pPr>
      <w:r>
        <w:rPr>
          <w:rFonts w:ascii="Arial" w:hAnsi="Arial" w:eastAsia="仿宋_GB2312" w:cs="Arial"/>
          <w:sz w:val="24"/>
        </w:rPr>
        <w:t>项目名称：</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904"/>
        <w:gridCol w:w="4199"/>
        <w:gridCol w:w="3640"/>
        <w:gridCol w:w="3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黑体" w:cs="Arial"/>
                <w:sz w:val="24"/>
              </w:rPr>
            </w:pPr>
            <w:r>
              <w:rPr>
                <w:rFonts w:ascii="Arial" w:hAnsi="Arial" w:eastAsia="黑体" w:cs="Arial"/>
                <w:sz w:val="24"/>
              </w:rPr>
              <w:t>序号</w:t>
            </w:r>
          </w:p>
        </w:tc>
        <w:tc>
          <w:tcPr>
            <w:tcW w:w="1904"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磋商文件条款号</w:t>
            </w:r>
          </w:p>
        </w:tc>
        <w:tc>
          <w:tcPr>
            <w:tcW w:w="4199"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磋商文件技术规格要求</w:t>
            </w:r>
          </w:p>
        </w:tc>
        <w:tc>
          <w:tcPr>
            <w:tcW w:w="3640"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响应文件响应内容</w:t>
            </w:r>
          </w:p>
        </w:tc>
        <w:tc>
          <w:tcPr>
            <w:tcW w:w="3640" w:type="dxa"/>
            <w:vAlign w:val="center"/>
          </w:tcPr>
          <w:p>
            <w:pPr>
              <w:snapToGrid w:val="0"/>
              <w:spacing w:before="120" w:beforeLines="50" w:after="120" w:afterLines="50"/>
              <w:jc w:val="center"/>
              <w:rPr>
                <w:rFonts w:ascii="Arial" w:hAnsi="Arial" w:eastAsia="黑体" w:cs="Arial"/>
                <w:sz w:val="24"/>
              </w:rPr>
            </w:pPr>
            <w:r>
              <w:rPr>
                <w:rFonts w:ascii="Arial" w:hAnsi="Arial" w:eastAsia="黑体" w:cs="Arial"/>
                <w:sz w:val="24"/>
              </w:rPr>
              <w:t>偏差说明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楷体_GB2312" w:cs="Arial"/>
              </w:rPr>
            </w:pPr>
          </w:p>
        </w:tc>
        <w:tc>
          <w:tcPr>
            <w:tcW w:w="1904" w:type="dxa"/>
            <w:vAlign w:val="center"/>
          </w:tcPr>
          <w:p>
            <w:pPr>
              <w:spacing w:line="360" w:lineRule="auto"/>
              <w:jc w:val="center"/>
              <w:rPr>
                <w:rFonts w:ascii="Arial" w:hAnsi="Arial" w:eastAsia="楷体_GB2312" w:cs="Arial"/>
              </w:rPr>
            </w:pPr>
          </w:p>
        </w:tc>
        <w:tc>
          <w:tcPr>
            <w:tcW w:w="4199"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楷体_GB2312" w:cs="Arial"/>
              </w:rPr>
            </w:pPr>
          </w:p>
        </w:tc>
        <w:tc>
          <w:tcPr>
            <w:tcW w:w="1904" w:type="dxa"/>
            <w:vAlign w:val="center"/>
          </w:tcPr>
          <w:p>
            <w:pPr>
              <w:spacing w:line="360" w:lineRule="auto"/>
              <w:jc w:val="center"/>
              <w:rPr>
                <w:rFonts w:ascii="Arial" w:hAnsi="Arial" w:eastAsia="楷体_GB2312" w:cs="Arial"/>
              </w:rPr>
            </w:pPr>
          </w:p>
        </w:tc>
        <w:tc>
          <w:tcPr>
            <w:tcW w:w="4199"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楷体_GB2312" w:cs="Arial"/>
              </w:rPr>
            </w:pPr>
          </w:p>
        </w:tc>
        <w:tc>
          <w:tcPr>
            <w:tcW w:w="1904" w:type="dxa"/>
            <w:vAlign w:val="center"/>
          </w:tcPr>
          <w:p>
            <w:pPr>
              <w:spacing w:line="360" w:lineRule="auto"/>
              <w:jc w:val="center"/>
              <w:rPr>
                <w:rFonts w:ascii="Arial" w:hAnsi="Arial" w:eastAsia="楷体_GB2312" w:cs="Arial"/>
              </w:rPr>
            </w:pPr>
          </w:p>
        </w:tc>
        <w:tc>
          <w:tcPr>
            <w:tcW w:w="4199"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楷体_GB2312" w:cs="Arial"/>
              </w:rPr>
            </w:pPr>
          </w:p>
        </w:tc>
        <w:tc>
          <w:tcPr>
            <w:tcW w:w="1904" w:type="dxa"/>
            <w:vAlign w:val="center"/>
          </w:tcPr>
          <w:p>
            <w:pPr>
              <w:spacing w:line="360" w:lineRule="auto"/>
              <w:jc w:val="center"/>
              <w:rPr>
                <w:rFonts w:ascii="Arial" w:hAnsi="Arial" w:eastAsia="楷体_GB2312" w:cs="Arial"/>
              </w:rPr>
            </w:pPr>
          </w:p>
        </w:tc>
        <w:tc>
          <w:tcPr>
            <w:tcW w:w="4199"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77" w:type="dxa"/>
            <w:vAlign w:val="center"/>
          </w:tcPr>
          <w:p>
            <w:pPr>
              <w:snapToGrid w:val="0"/>
              <w:spacing w:before="240" w:beforeLines="100" w:after="240" w:afterLines="100"/>
              <w:jc w:val="center"/>
              <w:rPr>
                <w:rFonts w:ascii="Arial" w:hAnsi="Arial" w:eastAsia="楷体_GB2312" w:cs="Arial"/>
              </w:rPr>
            </w:pPr>
          </w:p>
        </w:tc>
        <w:tc>
          <w:tcPr>
            <w:tcW w:w="1904" w:type="dxa"/>
            <w:vAlign w:val="center"/>
          </w:tcPr>
          <w:p>
            <w:pPr>
              <w:spacing w:line="360" w:lineRule="auto"/>
              <w:jc w:val="center"/>
              <w:rPr>
                <w:rFonts w:ascii="Arial" w:hAnsi="Arial" w:eastAsia="楷体_GB2312" w:cs="Arial"/>
              </w:rPr>
            </w:pPr>
          </w:p>
        </w:tc>
        <w:tc>
          <w:tcPr>
            <w:tcW w:w="4199"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c>
          <w:tcPr>
            <w:tcW w:w="3640" w:type="dxa"/>
            <w:vAlign w:val="center"/>
          </w:tcPr>
          <w:p>
            <w:pPr>
              <w:spacing w:line="360" w:lineRule="auto"/>
              <w:jc w:val="center"/>
              <w:rPr>
                <w:rFonts w:ascii="Arial" w:hAnsi="Arial" w:eastAsia="楷体_GB2312" w:cs="Arial"/>
              </w:rPr>
            </w:pPr>
          </w:p>
        </w:tc>
      </w:tr>
    </w:tbl>
    <w:p>
      <w:pPr>
        <w:pStyle w:val="45"/>
        <w:ind w:firstLine="480" w:firstLineChars="200"/>
        <w:rPr>
          <w:rFonts w:ascii="Arial" w:hAnsi="Arial" w:eastAsia="楷体_GB2312" w:cs="Arial"/>
          <w:sz w:val="24"/>
        </w:rPr>
      </w:pPr>
      <w:r>
        <w:rPr>
          <w:rFonts w:ascii="Arial" w:hAnsi="Arial" w:eastAsia="楷体_GB2312" w:cs="Arial"/>
          <w:sz w:val="24"/>
        </w:rPr>
        <w:t>注：1. 建议供应商按磋商文件第四章“技术要求”中的要求逐条应答，回答应以“满足”或“不满足”等明示承诺开始，列出所投产品或服务的具体技术指标，并辅以详细解释。除“满足”项目外，必须在偏差说明一栏中对偏差予以详细说明。除以上“偏差说明”栏中列明的偏差外，供应商无条件接受磋商文件规定的所有技术条款。</w:t>
      </w:r>
    </w:p>
    <w:p>
      <w:pPr>
        <w:pStyle w:val="45"/>
        <w:numPr>
          <w:ilvl w:val="0"/>
          <w:numId w:val="10"/>
        </w:numPr>
        <w:rPr>
          <w:rFonts w:ascii="Arial" w:hAnsi="Arial" w:eastAsia="楷体_GB2312" w:cs="Arial"/>
          <w:sz w:val="24"/>
        </w:rPr>
      </w:pPr>
      <w:r>
        <w:rPr>
          <w:rFonts w:ascii="Arial" w:hAnsi="Arial" w:eastAsia="楷体_GB2312" w:cs="Arial"/>
          <w:sz w:val="24"/>
        </w:rPr>
        <w:t xml:space="preserve"> 2. 投标者可根据其投标内容进一步细化上述表格，并可增添其它表格或说明以便进一步明确投标内容。</w:t>
      </w:r>
    </w:p>
    <w:p>
      <w:pPr>
        <w:pStyle w:val="148"/>
        <w:adjustRightInd/>
        <w:snapToGrid/>
        <w:spacing w:after="0"/>
        <w:rPr>
          <w:rFonts w:ascii="Arial" w:hAnsi="Arial" w:cs="Arial"/>
          <w:u w:val="single"/>
        </w:rPr>
      </w:pPr>
      <w:r>
        <w:rPr>
          <w:rFonts w:ascii="Arial" w:hAnsi="Arial" w:cs="Arial"/>
        </w:rPr>
        <w:t>供应商名称：</w:t>
      </w:r>
      <w:r>
        <w:rPr>
          <w:rFonts w:ascii="Arial" w:hAnsi="Arial" w:cs="Arial"/>
          <w:u w:val="single"/>
        </w:rPr>
        <w:t>公章</w:t>
      </w:r>
    </w:p>
    <w:p>
      <w:pPr>
        <w:spacing w:line="360" w:lineRule="auto"/>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rPr>
          <w:rFonts w:ascii="Arial" w:hAnsi="Arial" w:cs="Arial"/>
          <w:u w:val="single"/>
        </w:rPr>
      </w:pPr>
      <w:r>
        <w:rPr>
          <w:rFonts w:ascii="Arial" w:hAnsi="Arial" w:cs="Arial"/>
        </w:rPr>
        <w:t>日期：</w:t>
      </w:r>
    </w:p>
    <w:p>
      <w:pPr>
        <w:snapToGrid w:val="0"/>
        <w:spacing w:line="360" w:lineRule="auto"/>
        <w:jc w:val="center"/>
        <w:rPr>
          <w:rFonts w:ascii="Arial" w:hAnsi="Arial" w:eastAsia="黑体" w:cs="Arial"/>
          <w:sz w:val="30"/>
          <w:szCs w:val="30"/>
        </w:rPr>
      </w:pPr>
      <w:r>
        <w:rPr>
          <w:rFonts w:ascii="Arial" w:hAnsi="Arial" w:eastAsia="仿宋_GB2312" w:cs="Arial"/>
        </w:rPr>
        <w:br w:type="page"/>
      </w:r>
      <w:bookmarkStart w:id="595" w:name="_Toc80582209"/>
      <w:bookmarkStart w:id="596" w:name="_Toc82246203"/>
      <w:bookmarkStart w:id="597" w:name="_Toc82328644"/>
      <w:bookmarkStart w:id="598" w:name="_Toc82246259"/>
      <w:bookmarkStart w:id="599" w:name="_Toc82485152"/>
      <w:bookmarkStart w:id="600" w:name="_Toc83810518"/>
      <w:bookmarkStart w:id="601" w:name="_Toc83810789"/>
      <w:bookmarkStart w:id="602" w:name="_Toc163975562"/>
      <w:bookmarkStart w:id="603" w:name="_Toc163975725"/>
      <w:bookmarkStart w:id="604" w:name="_Toc163975798"/>
      <w:bookmarkStart w:id="605" w:name="_Toc163975865"/>
      <w:bookmarkStart w:id="606" w:name="_Toc167105248"/>
      <w:bookmarkStart w:id="607" w:name="_Toc163975923"/>
      <w:bookmarkStart w:id="608" w:name="_Toc163976171"/>
      <w:bookmarkStart w:id="609" w:name="_Toc185326903"/>
      <w:bookmarkStart w:id="610" w:name="_Toc83809766"/>
      <w:bookmarkStart w:id="611" w:name="_Toc184437996"/>
      <w:bookmarkStart w:id="612" w:name="_Toc82502371"/>
      <w:bookmarkStart w:id="613" w:name="_Toc83809642"/>
      <w:bookmarkStart w:id="614" w:name="_Toc509379910"/>
      <w:bookmarkStart w:id="615" w:name="_Toc70081229"/>
      <w:bookmarkStart w:id="616" w:name="_Toc70081326"/>
      <w:bookmarkStart w:id="617" w:name="_Toc509110774"/>
      <w:bookmarkStart w:id="618" w:name="_Toc509111527"/>
      <w:bookmarkStart w:id="619" w:name="_Toc516325292"/>
      <w:bookmarkStart w:id="620" w:name="_Toc516329228"/>
      <w:bookmarkStart w:id="621" w:name="_Toc509111786"/>
      <w:bookmarkStart w:id="622" w:name="_Toc524087291"/>
      <w:bookmarkStart w:id="623" w:name="_Toc524092626"/>
      <w:bookmarkStart w:id="624" w:name="_Toc524089222"/>
      <w:bookmarkStart w:id="625" w:name="_Toc524092533"/>
      <w:bookmarkStart w:id="626" w:name="_Toc524092703"/>
      <w:bookmarkStart w:id="627" w:name="_Toc524092806"/>
      <w:bookmarkStart w:id="628" w:name="_Toc524703776"/>
      <w:bookmarkStart w:id="629" w:name="_Toc8845577"/>
      <w:bookmarkStart w:id="630" w:name="_Toc8845664"/>
      <w:bookmarkStart w:id="631" w:name="_Toc524703850"/>
      <w:bookmarkStart w:id="632" w:name="_Toc8845737"/>
      <w:bookmarkStart w:id="633" w:name="_Toc46107915"/>
      <w:bookmarkStart w:id="634" w:name="_Toc8845755"/>
      <w:bookmarkStart w:id="635" w:name="_Toc21854780"/>
      <w:bookmarkStart w:id="636" w:name="_Toc50893479"/>
      <w:bookmarkStart w:id="637" w:name="_Toc50893604"/>
      <w:bookmarkStart w:id="638" w:name="_Toc50893651"/>
      <w:bookmarkStart w:id="639" w:name="_Toc50895827"/>
      <w:bookmarkStart w:id="640" w:name="_Toc50985482"/>
      <w:bookmarkStart w:id="641" w:name="_Toc50893960"/>
      <w:bookmarkStart w:id="642" w:name="_Toc50985611"/>
      <w:bookmarkStart w:id="643" w:name="_Toc52175479"/>
      <w:bookmarkStart w:id="644" w:name="_Toc50985659"/>
      <w:bookmarkStart w:id="645" w:name="_Toc50985743"/>
      <w:bookmarkStart w:id="646" w:name="_Toc67131251"/>
      <w:r>
        <w:rPr>
          <w:rFonts w:ascii="Arial" w:hAnsi="Arial" w:eastAsia="黑体" w:cs="Arial"/>
          <w:sz w:val="30"/>
          <w:szCs w:val="30"/>
        </w:rPr>
        <w:t>附件5商务条款偏离表</w:t>
      </w:r>
      <w:bookmarkEnd w:id="595"/>
      <w:bookmarkEnd w:id="596"/>
      <w:bookmarkEnd w:id="597"/>
      <w:bookmarkEnd w:id="598"/>
      <w:bookmarkEnd w:id="599"/>
      <w:r>
        <w:rPr>
          <w:rFonts w:ascii="Arial" w:hAnsi="Arial" w:eastAsia="黑体" w:cs="Arial"/>
          <w:sz w:val="30"/>
          <w:szCs w:val="30"/>
        </w:rPr>
        <w:t>格式</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6"/>
        <w:spacing w:line="360" w:lineRule="auto"/>
        <w:ind w:firstLine="0"/>
        <w:rPr>
          <w:rFonts w:ascii="Arial" w:hAnsi="Arial" w:eastAsia="仿宋_GB2312" w:cs="Arial"/>
          <w:sz w:val="24"/>
        </w:rPr>
      </w:pPr>
      <w:r>
        <w:rPr>
          <w:rFonts w:ascii="Arial" w:hAnsi="Arial" w:eastAsia="仿宋_GB2312" w:cs="Arial"/>
          <w:sz w:val="24"/>
        </w:rPr>
        <w:t>招标编号：</w:t>
      </w:r>
    </w:p>
    <w:p>
      <w:pPr>
        <w:pStyle w:val="6"/>
        <w:spacing w:line="360" w:lineRule="auto"/>
        <w:ind w:firstLine="0"/>
        <w:rPr>
          <w:rFonts w:ascii="Arial" w:hAnsi="Arial" w:eastAsia="仿宋_GB2312" w:cs="Arial"/>
        </w:rPr>
      </w:pPr>
      <w:r>
        <w:rPr>
          <w:rFonts w:ascii="Arial" w:hAnsi="Arial" w:eastAsia="仿宋_GB2312" w:cs="Arial"/>
          <w:sz w:val="24"/>
        </w:rPr>
        <w:t>项目名称：</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3355"/>
        <w:gridCol w:w="3631"/>
        <w:gridCol w:w="4199"/>
        <w:gridCol w:w="2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6" w:type="dxa"/>
            <w:vAlign w:val="center"/>
          </w:tcPr>
          <w:p>
            <w:pPr>
              <w:spacing w:before="120" w:beforeLines="50" w:after="120" w:afterLines="50"/>
              <w:jc w:val="center"/>
              <w:rPr>
                <w:rFonts w:ascii="Arial" w:hAnsi="Arial" w:eastAsia="黑体" w:cs="Arial"/>
                <w:sz w:val="24"/>
              </w:rPr>
            </w:pPr>
            <w:bookmarkStart w:id="647" w:name="_Toc80582210"/>
            <w:bookmarkStart w:id="648" w:name="_Toc82246204"/>
            <w:r>
              <w:rPr>
                <w:rFonts w:ascii="Arial" w:hAnsi="Arial" w:eastAsia="黑体" w:cs="Arial"/>
                <w:sz w:val="24"/>
              </w:rPr>
              <w:t>序号</w:t>
            </w:r>
            <w:bookmarkEnd w:id="647"/>
            <w:bookmarkEnd w:id="648"/>
          </w:p>
        </w:tc>
        <w:tc>
          <w:tcPr>
            <w:tcW w:w="3355" w:type="dxa"/>
            <w:vAlign w:val="center"/>
          </w:tcPr>
          <w:p>
            <w:pPr>
              <w:spacing w:before="120" w:beforeLines="50" w:after="120" w:afterLines="50"/>
              <w:jc w:val="center"/>
              <w:rPr>
                <w:rFonts w:ascii="Arial" w:hAnsi="Arial" w:eastAsia="黑体" w:cs="Arial"/>
                <w:sz w:val="24"/>
              </w:rPr>
            </w:pPr>
            <w:bookmarkStart w:id="649" w:name="_Toc82246205"/>
            <w:bookmarkStart w:id="650" w:name="_Toc80582211"/>
            <w:r>
              <w:rPr>
                <w:rFonts w:ascii="Arial" w:hAnsi="Arial" w:eastAsia="黑体" w:cs="Arial"/>
                <w:sz w:val="24"/>
              </w:rPr>
              <w:t>磋商文件条款号</w:t>
            </w:r>
            <w:bookmarkEnd w:id="649"/>
            <w:bookmarkEnd w:id="650"/>
          </w:p>
        </w:tc>
        <w:tc>
          <w:tcPr>
            <w:tcW w:w="3631" w:type="dxa"/>
            <w:vAlign w:val="center"/>
          </w:tcPr>
          <w:p>
            <w:pPr>
              <w:spacing w:before="120" w:beforeLines="50" w:after="120" w:afterLines="50"/>
              <w:jc w:val="center"/>
              <w:rPr>
                <w:rFonts w:ascii="Arial" w:hAnsi="Arial" w:eastAsia="黑体" w:cs="Arial"/>
                <w:sz w:val="24"/>
              </w:rPr>
            </w:pPr>
            <w:bookmarkStart w:id="651" w:name="_Toc82246206"/>
            <w:bookmarkStart w:id="652" w:name="_Toc80582212"/>
            <w:r>
              <w:rPr>
                <w:rFonts w:ascii="Arial" w:hAnsi="Arial" w:eastAsia="黑体" w:cs="Arial"/>
                <w:sz w:val="24"/>
              </w:rPr>
              <w:t>磋商文件商务条款</w:t>
            </w:r>
            <w:bookmarkEnd w:id="651"/>
            <w:bookmarkEnd w:id="652"/>
          </w:p>
        </w:tc>
        <w:tc>
          <w:tcPr>
            <w:tcW w:w="4199" w:type="dxa"/>
            <w:vAlign w:val="center"/>
          </w:tcPr>
          <w:p>
            <w:pPr>
              <w:spacing w:before="120" w:beforeLines="50" w:after="120" w:afterLines="50"/>
              <w:jc w:val="center"/>
              <w:rPr>
                <w:rFonts w:ascii="Arial" w:hAnsi="Arial" w:eastAsia="黑体" w:cs="Arial"/>
                <w:sz w:val="24"/>
              </w:rPr>
            </w:pPr>
            <w:bookmarkStart w:id="653" w:name="_Toc82246207"/>
            <w:bookmarkStart w:id="654" w:name="_Toc80582213"/>
            <w:r>
              <w:rPr>
                <w:rFonts w:ascii="Arial" w:hAnsi="Arial" w:eastAsia="黑体" w:cs="Arial"/>
                <w:sz w:val="24"/>
              </w:rPr>
              <w:t>响应文件商务条款</w:t>
            </w:r>
            <w:bookmarkEnd w:id="653"/>
            <w:bookmarkEnd w:id="654"/>
          </w:p>
        </w:tc>
        <w:tc>
          <w:tcPr>
            <w:tcW w:w="2239" w:type="dxa"/>
            <w:vAlign w:val="center"/>
          </w:tcPr>
          <w:p>
            <w:pPr>
              <w:spacing w:before="120" w:beforeLines="50" w:after="120" w:afterLines="50"/>
              <w:jc w:val="center"/>
              <w:rPr>
                <w:rFonts w:ascii="Arial" w:hAnsi="Arial" w:eastAsia="黑体" w:cs="Arial"/>
                <w:sz w:val="24"/>
              </w:rPr>
            </w:pPr>
            <w:bookmarkStart w:id="655" w:name="_Toc82246208"/>
            <w:bookmarkStart w:id="656" w:name="_Toc80582214"/>
            <w:r>
              <w:rPr>
                <w:rFonts w:ascii="Arial" w:hAnsi="Arial" w:eastAsia="黑体" w:cs="Arial"/>
                <w:sz w:val="24"/>
              </w:rPr>
              <w:t>偏差说明</w:t>
            </w:r>
            <w:bookmarkEnd w:id="655"/>
            <w:bookmarkEnd w:id="65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45"/>
              <w:jc w:val="center"/>
              <w:rPr>
                <w:rFonts w:ascii="Arial" w:hAnsi="Arial" w:eastAsia="仿宋_GB2312" w:cs="Arial"/>
              </w:rPr>
            </w:pPr>
          </w:p>
        </w:tc>
        <w:tc>
          <w:tcPr>
            <w:tcW w:w="3355" w:type="dxa"/>
            <w:vAlign w:val="center"/>
          </w:tcPr>
          <w:p>
            <w:pPr>
              <w:spacing w:line="360" w:lineRule="auto"/>
              <w:jc w:val="center"/>
              <w:rPr>
                <w:rFonts w:ascii="Arial" w:hAnsi="Arial" w:eastAsia="仿宋_GB2312" w:cs="Arial"/>
              </w:rPr>
            </w:pPr>
          </w:p>
        </w:tc>
        <w:tc>
          <w:tcPr>
            <w:tcW w:w="3631" w:type="dxa"/>
            <w:vAlign w:val="center"/>
          </w:tcPr>
          <w:p>
            <w:pPr>
              <w:pStyle w:val="45"/>
              <w:jc w:val="center"/>
              <w:rPr>
                <w:rFonts w:ascii="Arial" w:hAnsi="Arial" w:eastAsia="仿宋_GB2312" w:cs="Arial"/>
              </w:rPr>
            </w:pPr>
          </w:p>
        </w:tc>
        <w:tc>
          <w:tcPr>
            <w:tcW w:w="4199" w:type="dxa"/>
            <w:vAlign w:val="center"/>
          </w:tcPr>
          <w:p>
            <w:pPr>
              <w:pStyle w:val="45"/>
              <w:jc w:val="center"/>
              <w:rPr>
                <w:rFonts w:ascii="Arial" w:hAnsi="Arial" w:eastAsia="仿宋_GB2312" w:cs="Arial"/>
              </w:rPr>
            </w:pPr>
          </w:p>
        </w:tc>
        <w:tc>
          <w:tcPr>
            <w:tcW w:w="2239" w:type="dxa"/>
            <w:vAlign w:val="center"/>
          </w:tcPr>
          <w:p>
            <w:pPr>
              <w:pStyle w:val="45"/>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45"/>
              <w:jc w:val="center"/>
              <w:rPr>
                <w:rFonts w:ascii="Arial" w:hAnsi="Arial" w:eastAsia="仿宋_GB2312" w:cs="Arial"/>
              </w:rPr>
            </w:pPr>
          </w:p>
        </w:tc>
        <w:tc>
          <w:tcPr>
            <w:tcW w:w="3355" w:type="dxa"/>
            <w:vAlign w:val="center"/>
          </w:tcPr>
          <w:p>
            <w:pPr>
              <w:pStyle w:val="45"/>
              <w:jc w:val="center"/>
              <w:rPr>
                <w:rFonts w:ascii="Arial" w:hAnsi="Arial" w:eastAsia="仿宋_GB2312" w:cs="Arial"/>
              </w:rPr>
            </w:pPr>
          </w:p>
        </w:tc>
        <w:tc>
          <w:tcPr>
            <w:tcW w:w="3631" w:type="dxa"/>
            <w:vAlign w:val="center"/>
          </w:tcPr>
          <w:p>
            <w:pPr>
              <w:pStyle w:val="45"/>
              <w:jc w:val="center"/>
              <w:rPr>
                <w:rFonts w:ascii="Arial" w:hAnsi="Arial" w:eastAsia="仿宋_GB2312" w:cs="Arial"/>
              </w:rPr>
            </w:pPr>
          </w:p>
        </w:tc>
        <w:tc>
          <w:tcPr>
            <w:tcW w:w="4199" w:type="dxa"/>
            <w:vAlign w:val="center"/>
          </w:tcPr>
          <w:p>
            <w:pPr>
              <w:pStyle w:val="45"/>
              <w:jc w:val="center"/>
              <w:rPr>
                <w:rFonts w:ascii="Arial" w:hAnsi="Arial" w:eastAsia="仿宋_GB2312" w:cs="Arial"/>
              </w:rPr>
            </w:pPr>
          </w:p>
        </w:tc>
        <w:tc>
          <w:tcPr>
            <w:tcW w:w="2239" w:type="dxa"/>
            <w:vAlign w:val="center"/>
          </w:tcPr>
          <w:p>
            <w:pPr>
              <w:pStyle w:val="45"/>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45"/>
              <w:jc w:val="center"/>
              <w:rPr>
                <w:rFonts w:ascii="Arial" w:hAnsi="Arial" w:eastAsia="仿宋_GB2312" w:cs="Arial"/>
              </w:rPr>
            </w:pPr>
          </w:p>
        </w:tc>
        <w:tc>
          <w:tcPr>
            <w:tcW w:w="3355" w:type="dxa"/>
            <w:vAlign w:val="center"/>
          </w:tcPr>
          <w:p>
            <w:pPr>
              <w:pStyle w:val="45"/>
              <w:jc w:val="center"/>
              <w:rPr>
                <w:rFonts w:ascii="Arial" w:hAnsi="Arial" w:eastAsia="仿宋_GB2312" w:cs="Arial"/>
              </w:rPr>
            </w:pPr>
          </w:p>
        </w:tc>
        <w:tc>
          <w:tcPr>
            <w:tcW w:w="3631" w:type="dxa"/>
            <w:vAlign w:val="center"/>
          </w:tcPr>
          <w:p>
            <w:pPr>
              <w:pStyle w:val="45"/>
              <w:jc w:val="center"/>
              <w:rPr>
                <w:rFonts w:ascii="Arial" w:hAnsi="Arial" w:eastAsia="仿宋_GB2312" w:cs="Arial"/>
              </w:rPr>
            </w:pPr>
          </w:p>
        </w:tc>
        <w:tc>
          <w:tcPr>
            <w:tcW w:w="4199" w:type="dxa"/>
            <w:vAlign w:val="center"/>
          </w:tcPr>
          <w:p>
            <w:pPr>
              <w:pStyle w:val="45"/>
              <w:jc w:val="center"/>
              <w:rPr>
                <w:rFonts w:ascii="Arial" w:hAnsi="Arial" w:eastAsia="仿宋_GB2312" w:cs="Arial"/>
              </w:rPr>
            </w:pPr>
          </w:p>
        </w:tc>
        <w:tc>
          <w:tcPr>
            <w:tcW w:w="2239" w:type="dxa"/>
            <w:vAlign w:val="center"/>
          </w:tcPr>
          <w:p>
            <w:pPr>
              <w:pStyle w:val="45"/>
              <w:jc w:val="center"/>
              <w:rPr>
                <w:rFonts w:ascii="Arial" w:hAnsi="Arial" w:eastAsia="仿宋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136" w:type="dxa"/>
            <w:vAlign w:val="center"/>
          </w:tcPr>
          <w:p>
            <w:pPr>
              <w:pStyle w:val="45"/>
              <w:jc w:val="center"/>
              <w:rPr>
                <w:rFonts w:ascii="Arial" w:hAnsi="Arial" w:eastAsia="仿宋_GB2312" w:cs="Arial"/>
              </w:rPr>
            </w:pPr>
          </w:p>
        </w:tc>
        <w:tc>
          <w:tcPr>
            <w:tcW w:w="3355" w:type="dxa"/>
            <w:vAlign w:val="center"/>
          </w:tcPr>
          <w:p>
            <w:pPr>
              <w:pStyle w:val="45"/>
              <w:jc w:val="center"/>
              <w:rPr>
                <w:rFonts w:ascii="Arial" w:hAnsi="Arial" w:eastAsia="仿宋_GB2312" w:cs="Arial"/>
              </w:rPr>
            </w:pPr>
          </w:p>
        </w:tc>
        <w:tc>
          <w:tcPr>
            <w:tcW w:w="3631" w:type="dxa"/>
            <w:vAlign w:val="center"/>
          </w:tcPr>
          <w:p>
            <w:pPr>
              <w:pStyle w:val="45"/>
              <w:jc w:val="center"/>
              <w:rPr>
                <w:rFonts w:ascii="Arial" w:hAnsi="Arial" w:eastAsia="仿宋_GB2312" w:cs="Arial"/>
              </w:rPr>
            </w:pPr>
          </w:p>
        </w:tc>
        <w:tc>
          <w:tcPr>
            <w:tcW w:w="4199" w:type="dxa"/>
            <w:vAlign w:val="center"/>
          </w:tcPr>
          <w:p>
            <w:pPr>
              <w:pStyle w:val="45"/>
              <w:jc w:val="center"/>
              <w:rPr>
                <w:rFonts w:ascii="Arial" w:hAnsi="Arial" w:eastAsia="仿宋_GB2312" w:cs="Arial"/>
              </w:rPr>
            </w:pPr>
          </w:p>
        </w:tc>
        <w:tc>
          <w:tcPr>
            <w:tcW w:w="2239" w:type="dxa"/>
            <w:vAlign w:val="center"/>
          </w:tcPr>
          <w:p>
            <w:pPr>
              <w:pStyle w:val="45"/>
              <w:jc w:val="center"/>
              <w:rPr>
                <w:rFonts w:ascii="Arial" w:hAnsi="Arial" w:eastAsia="仿宋_GB2312" w:cs="Arial"/>
              </w:rPr>
            </w:pPr>
          </w:p>
        </w:tc>
      </w:tr>
    </w:tbl>
    <w:p>
      <w:pPr>
        <w:pStyle w:val="45"/>
        <w:rPr>
          <w:rFonts w:ascii="Arial" w:hAnsi="Arial" w:eastAsia="楷体_GB2312" w:cs="Arial"/>
          <w:sz w:val="24"/>
        </w:rPr>
      </w:pPr>
      <w:r>
        <w:rPr>
          <w:rFonts w:ascii="Arial" w:hAnsi="Arial" w:eastAsia="楷体_GB2312" w:cs="Arial"/>
          <w:sz w:val="24"/>
        </w:rPr>
        <w:t>注：1. 建议供应商按磋商文件第五章“合同主要条款列表”中的要求逐条应答，回答应以“满足”或“不满足”等明示承诺开始，列出所投产品或服务的具体商务条款并辅以详细解释。除“满足”项目外，必须在偏差说明一栏中对偏差予以详细说明。</w:t>
      </w:r>
    </w:p>
    <w:p>
      <w:pPr>
        <w:pStyle w:val="45"/>
        <w:ind w:firstLine="480" w:firstLineChars="200"/>
        <w:rPr>
          <w:rFonts w:ascii="Arial" w:hAnsi="Arial" w:eastAsia="楷体_GB2312" w:cs="Arial"/>
          <w:sz w:val="24"/>
        </w:rPr>
      </w:pPr>
      <w:r>
        <w:rPr>
          <w:rFonts w:ascii="Arial" w:hAnsi="Arial" w:eastAsia="楷体_GB2312" w:cs="Arial"/>
          <w:sz w:val="24"/>
        </w:rPr>
        <w:t>2.除以上“偏差说明”栏中列明的偏差外，供应商无条件接受磋商文件规定的所有商务条款。</w:t>
      </w:r>
    </w:p>
    <w:p>
      <w:pPr>
        <w:pStyle w:val="148"/>
        <w:adjustRightInd/>
        <w:snapToGrid/>
        <w:spacing w:after="0"/>
        <w:rPr>
          <w:rFonts w:ascii="Arial" w:hAnsi="Arial" w:cs="Arial"/>
        </w:rPr>
      </w:pPr>
    </w:p>
    <w:p>
      <w:pPr>
        <w:pStyle w:val="148"/>
        <w:adjustRightInd/>
        <w:snapToGrid/>
        <w:spacing w:after="0"/>
        <w:rPr>
          <w:rFonts w:ascii="Arial" w:hAnsi="Arial" w:cs="Arial"/>
          <w:u w:val="single"/>
        </w:rPr>
      </w:pPr>
      <w:r>
        <w:rPr>
          <w:rFonts w:ascii="Arial" w:hAnsi="Arial" w:cs="Arial"/>
        </w:rPr>
        <w:t>供应商名称：</w:t>
      </w:r>
      <w:r>
        <w:rPr>
          <w:rFonts w:ascii="Arial" w:hAnsi="Arial" w:cs="Arial"/>
          <w:u w:val="single"/>
        </w:rPr>
        <w:t>公章</w:t>
      </w:r>
    </w:p>
    <w:p>
      <w:pPr>
        <w:spacing w:line="360" w:lineRule="auto"/>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rPr>
          <w:rFonts w:ascii="Arial" w:hAnsi="Arial" w:cs="Arial"/>
          <w:u w:val="single"/>
        </w:rPr>
      </w:pPr>
      <w:r>
        <w:rPr>
          <w:rFonts w:ascii="Arial" w:hAnsi="Arial" w:cs="Arial"/>
        </w:rPr>
        <w:t>日期：</w:t>
      </w:r>
    </w:p>
    <w:p>
      <w:pPr>
        <w:spacing w:line="360" w:lineRule="auto"/>
        <w:rPr>
          <w:rFonts w:ascii="Arial" w:hAnsi="Arial" w:eastAsia="仿宋_GB2312" w:cs="Arial"/>
          <w:sz w:val="24"/>
        </w:rPr>
        <w:sectPr>
          <w:headerReference r:id="rId13" w:type="default"/>
          <w:pgSz w:w="16838" w:h="11906" w:orient="landscape"/>
          <w:pgMar w:top="1247" w:right="1247" w:bottom="1247" w:left="1247" w:header="851" w:footer="992" w:gutter="0"/>
          <w:cols w:space="720" w:num="1"/>
          <w:titlePg/>
          <w:docGrid w:linePitch="312" w:charSpace="0"/>
        </w:sectPr>
      </w:pPr>
      <w:bookmarkStart w:id="657" w:name="_Toc82485153"/>
      <w:bookmarkStart w:id="658" w:name="_Toc184437997"/>
      <w:bookmarkStart w:id="659" w:name="_Toc82246209"/>
      <w:bookmarkStart w:id="660" w:name="_Toc185326904"/>
      <w:bookmarkStart w:id="661" w:name="_Toc80582215"/>
      <w:bookmarkStart w:id="662" w:name="_Toc82328645"/>
      <w:bookmarkStart w:id="663" w:name="_Toc82246260"/>
    </w:p>
    <w:p>
      <w:pPr>
        <w:adjustRightInd w:val="0"/>
        <w:snapToGrid w:val="0"/>
        <w:spacing w:after="120" w:afterLines="50" w:line="360" w:lineRule="auto"/>
        <w:ind w:right="338" w:rightChars="161"/>
        <w:jc w:val="center"/>
        <w:rPr>
          <w:rFonts w:ascii="Arial" w:hAnsi="Arial" w:eastAsia="黑体" w:cs="Arial"/>
          <w:sz w:val="30"/>
          <w:szCs w:val="30"/>
        </w:rPr>
      </w:pPr>
      <w:r>
        <w:rPr>
          <w:rFonts w:ascii="Arial" w:hAnsi="Arial" w:eastAsia="黑体" w:cs="Arial"/>
          <w:sz w:val="30"/>
          <w:szCs w:val="30"/>
        </w:rPr>
        <w:t>附件6法定代表人授权书格式</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57"/>
      <w:bookmarkEnd w:id="658"/>
      <w:bookmarkEnd w:id="659"/>
      <w:bookmarkEnd w:id="660"/>
      <w:bookmarkEnd w:id="661"/>
      <w:bookmarkEnd w:id="662"/>
      <w:bookmarkEnd w:id="663"/>
    </w:p>
    <w:p>
      <w:pPr>
        <w:adjustRightInd w:val="0"/>
        <w:snapToGrid w:val="0"/>
        <w:spacing w:after="120" w:afterLines="50" w:line="360" w:lineRule="auto"/>
        <w:ind w:right="338" w:rightChars="161"/>
        <w:jc w:val="center"/>
        <w:rPr>
          <w:rFonts w:ascii="Arial" w:hAnsi="Arial" w:eastAsia="黑体" w:cs="Arial"/>
          <w:sz w:val="30"/>
          <w:szCs w:val="30"/>
        </w:rPr>
      </w:pPr>
      <w:bookmarkStart w:id="664" w:name="_Hlk27731796"/>
    </w:p>
    <w:p>
      <w:pPr>
        <w:pStyle w:val="45"/>
        <w:spacing w:line="360" w:lineRule="auto"/>
        <w:ind w:right="338" w:rightChars="161" w:firstLine="480" w:firstLineChars="200"/>
        <w:rPr>
          <w:rFonts w:ascii="Arial" w:hAnsi="Arial" w:cs="Arial"/>
          <w:sz w:val="24"/>
          <w:szCs w:val="24"/>
        </w:rPr>
      </w:pPr>
      <w:r>
        <w:rPr>
          <w:rFonts w:ascii="Arial" w:hAnsi="Arial" w:cs="Arial"/>
          <w:sz w:val="24"/>
          <w:szCs w:val="24"/>
        </w:rPr>
        <w:t>本授权书声明：注册于的公司的在下面签字的</w:t>
      </w:r>
      <w:r>
        <w:rPr>
          <w:rFonts w:ascii="Arial" w:hAnsi="Arial" w:cs="Arial"/>
          <w:sz w:val="24"/>
          <w:szCs w:val="24"/>
          <w:u w:val="single"/>
        </w:rPr>
        <w:t>（法定代表人姓名、职务）</w:t>
      </w:r>
      <w:r>
        <w:rPr>
          <w:rFonts w:ascii="Arial" w:hAnsi="Arial" w:cs="Arial"/>
          <w:sz w:val="24"/>
          <w:szCs w:val="24"/>
        </w:rPr>
        <w:t>代表本公司授权在下面签字的</w:t>
      </w:r>
      <w:r>
        <w:rPr>
          <w:rFonts w:ascii="Arial" w:hAnsi="Arial" w:cs="Arial"/>
          <w:sz w:val="24"/>
          <w:szCs w:val="24"/>
          <w:u w:val="single"/>
        </w:rPr>
        <w:t>（被授权人的姓名、职务）</w:t>
      </w:r>
      <w:r>
        <w:rPr>
          <w:rFonts w:ascii="Arial" w:hAnsi="Arial" w:cs="Arial"/>
          <w:sz w:val="24"/>
          <w:szCs w:val="24"/>
        </w:rPr>
        <w:t>为本公司的合法代理人，就项目的投标及合同的执行，以本公司名义处理一切与之有关的事务。</w:t>
      </w:r>
    </w:p>
    <w:p>
      <w:pPr>
        <w:pStyle w:val="45"/>
        <w:spacing w:line="360" w:lineRule="auto"/>
        <w:ind w:right="338" w:rightChars="161"/>
        <w:rPr>
          <w:rFonts w:ascii="Arial" w:hAnsi="Arial" w:cs="Arial"/>
          <w:sz w:val="24"/>
          <w:szCs w:val="24"/>
        </w:rPr>
      </w:pPr>
    </w:p>
    <w:p>
      <w:pPr>
        <w:pStyle w:val="45"/>
        <w:spacing w:line="360" w:lineRule="auto"/>
        <w:ind w:right="338" w:rightChars="161" w:firstLine="420"/>
        <w:rPr>
          <w:rFonts w:ascii="Arial" w:hAnsi="Arial" w:cs="Arial"/>
          <w:sz w:val="24"/>
          <w:szCs w:val="24"/>
        </w:rPr>
      </w:pPr>
      <w:r>
        <w:rPr>
          <w:rFonts w:ascii="Arial" w:hAnsi="Arial" w:cs="Arial"/>
          <w:sz w:val="24"/>
          <w:szCs w:val="24"/>
        </w:rPr>
        <w:t>本授权书于年月日签字</w:t>
      </w:r>
      <w:r>
        <w:rPr>
          <w:rFonts w:hint="eastAsia" w:ascii="Arial" w:hAnsi="Arial" w:cs="Arial"/>
          <w:sz w:val="24"/>
          <w:szCs w:val="24"/>
        </w:rPr>
        <w:t>或加盖签名章</w:t>
      </w:r>
      <w:r>
        <w:rPr>
          <w:rFonts w:ascii="Arial" w:hAnsi="Arial" w:cs="Arial"/>
          <w:sz w:val="24"/>
          <w:szCs w:val="24"/>
        </w:rPr>
        <w:t>生效，特此声明。</w:t>
      </w:r>
    </w:p>
    <w:p>
      <w:pPr>
        <w:pStyle w:val="45"/>
        <w:spacing w:line="360" w:lineRule="auto"/>
        <w:ind w:right="338" w:rightChars="161" w:firstLine="420"/>
        <w:rPr>
          <w:rFonts w:ascii="Arial" w:hAnsi="Arial" w:cs="Arial"/>
          <w:sz w:val="24"/>
          <w:szCs w:val="24"/>
        </w:rPr>
      </w:pPr>
    </w:p>
    <w:p>
      <w:pPr>
        <w:pStyle w:val="45"/>
        <w:spacing w:line="360" w:lineRule="auto"/>
        <w:ind w:right="338" w:rightChars="161" w:firstLine="420"/>
        <w:rPr>
          <w:rFonts w:ascii="Arial" w:hAnsi="Arial" w:cs="Arial"/>
          <w:sz w:val="24"/>
          <w:szCs w:val="24"/>
        </w:rPr>
      </w:pPr>
      <w:r>
        <w:rPr>
          <w:rFonts w:ascii="Arial" w:hAnsi="Arial" w:cs="Arial"/>
          <w:sz w:val="24"/>
          <w:szCs w:val="24"/>
        </w:rPr>
        <w:t>法定代表人签字或签章：</w:t>
      </w:r>
    </w:p>
    <w:p>
      <w:pPr>
        <w:pStyle w:val="45"/>
        <w:spacing w:line="360" w:lineRule="auto"/>
        <w:ind w:right="338" w:rightChars="161" w:firstLine="420"/>
        <w:rPr>
          <w:rFonts w:ascii="Arial" w:hAnsi="Arial" w:cs="Arial"/>
          <w:sz w:val="24"/>
          <w:szCs w:val="24"/>
        </w:rPr>
      </w:pPr>
      <w:r>
        <w:rPr>
          <w:rFonts w:ascii="Arial" w:hAnsi="Arial" w:cs="Arial"/>
          <w:sz w:val="24"/>
          <w:szCs w:val="24"/>
        </w:rPr>
        <w:t>授权代表（被授权人）签字：</w:t>
      </w:r>
    </w:p>
    <w:p>
      <w:pPr>
        <w:pStyle w:val="45"/>
        <w:spacing w:line="360" w:lineRule="auto"/>
        <w:ind w:right="338" w:rightChars="161" w:firstLine="420"/>
        <w:rPr>
          <w:rFonts w:ascii="Arial" w:hAnsi="Arial" w:cs="Arial"/>
          <w:sz w:val="24"/>
          <w:szCs w:val="24"/>
        </w:rPr>
      </w:pPr>
      <w:r>
        <w:rPr>
          <w:rFonts w:ascii="Arial" w:hAnsi="Arial" w:cs="Arial"/>
          <w:sz w:val="24"/>
          <w:szCs w:val="24"/>
        </w:rPr>
        <w:t>职务：</w:t>
      </w:r>
    </w:p>
    <w:p>
      <w:pPr>
        <w:pStyle w:val="45"/>
        <w:spacing w:line="360" w:lineRule="auto"/>
        <w:ind w:right="338" w:rightChars="161" w:firstLine="420"/>
        <w:rPr>
          <w:rFonts w:ascii="Arial" w:hAnsi="Arial" w:cs="Arial"/>
          <w:sz w:val="24"/>
          <w:szCs w:val="24"/>
        </w:rPr>
      </w:pPr>
      <w:r>
        <w:rPr>
          <w:rFonts w:ascii="Arial" w:hAnsi="Arial" w:cs="Arial"/>
          <w:sz w:val="24"/>
          <w:szCs w:val="24"/>
        </w:rPr>
        <w:t>单位名称（盖章）：</w:t>
      </w:r>
    </w:p>
    <w:p>
      <w:pPr>
        <w:pStyle w:val="45"/>
        <w:spacing w:line="360" w:lineRule="auto"/>
        <w:ind w:right="338" w:rightChars="161" w:firstLine="424" w:firstLineChars="177"/>
        <w:rPr>
          <w:rFonts w:ascii="Arial" w:hAnsi="Arial" w:cs="Arial"/>
          <w:sz w:val="24"/>
          <w:szCs w:val="24"/>
        </w:rPr>
      </w:pPr>
      <w:r>
        <w:rPr>
          <w:rFonts w:ascii="Arial" w:hAnsi="Arial" w:cs="Arial"/>
          <w:sz w:val="24"/>
          <w:szCs w:val="24"/>
        </w:rPr>
        <w:t>地址：</w:t>
      </w:r>
    </w:p>
    <w:p>
      <w:pPr>
        <w:pStyle w:val="45"/>
        <w:spacing w:line="360" w:lineRule="auto"/>
        <w:ind w:right="338" w:rightChars="161" w:firstLine="424" w:firstLineChars="177"/>
        <w:rPr>
          <w:rFonts w:ascii="Arial" w:hAnsi="Arial" w:cs="Arial"/>
          <w:sz w:val="24"/>
          <w:szCs w:val="24"/>
        </w:rPr>
      </w:pPr>
    </w:p>
    <w:p>
      <w:pPr>
        <w:pStyle w:val="45"/>
        <w:spacing w:line="360" w:lineRule="auto"/>
        <w:ind w:right="338" w:rightChars="161" w:firstLine="424" w:firstLineChars="177"/>
        <w:rPr>
          <w:rFonts w:ascii="Arial" w:hAnsi="Arial" w:cs="Arial"/>
          <w:sz w:val="24"/>
          <w:szCs w:val="24"/>
        </w:rPr>
      </w:pPr>
    </w:p>
    <w:p>
      <w:pPr>
        <w:pStyle w:val="45"/>
        <w:spacing w:line="360" w:lineRule="auto"/>
        <w:ind w:right="338" w:rightChars="161" w:firstLine="424" w:firstLineChars="177"/>
        <w:rPr>
          <w:rFonts w:ascii="Arial" w:hAnsi="Arial" w:cs="Arial"/>
          <w:sz w:val="24"/>
          <w:szCs w:val="24"/>
        </w:rPr>
      </w:pPr>
      <w:r>
        <w:rPr>
          <w:rFonts w:hint="eastAsia" w:ascii="Arial" w:hAnsi="Arial" w:cs="Arial"/>
          <w:sz w:val="24"/>
          <w:szCs w:val="24"/>
        </w:rPr>
        <w:t>附：法定代表人和被授权人的身份证复印件</w:t>
      </w:r>
    </w:p>
    <w:bookmarkEnd w:id="664"/>
    <w:p>
      <w:pPr>
        <w:pStyle w:val="45"/>
        <w:spacing w:line="360" w:lineRule="auto"/>
        <w:ind w:right="338" w:rightChars="161"/>
        <w:rPr>
          <w:rFonts w:ascii="Arial" w:hAnsi="Arial" w:cs="Arial"/>
        </w:rPr>
      </w:pPr>
    </w:p>
    <w:p>
      <w:pPr>
        <w:adjustRightInd w:val="0"/>
        <w:snapToGrid w:val="0"/>
        <w:spacing w:after="120" w:afterLines="50" w:line="360" w:lineRule="auto"/>
        <w:ind w:right="338" w:rightChars="161"/>
        <w:jc w:val="center"/>
        <w:rPr>
          <w:rFonts w:ascii="Arial" w:hAnsi="Arial" w:eastAsia="黑体" w:cs="Arial"/>
          <w:sz w:val="30"/>
          <w:szCs w:val="30"/>
        </w:rPr>
      </w:pPr>
      <w:r>
        <w:rPr>
          <w:rFonts w:ascii="Arial" w:hAnsi="Arial" w:eastAsia="仿宋_GB2312" w:cs="Arial"/>
        </w:rPr>
        <w:br w:type="page"/>
      </w:r>
      <w:bookmarkStart w:id="665" w:name="_Toc82328646"/>
      <w:bookmarkStart w:id="666" w:name="_Toc82246261"/>
      <w:bookmarkStart w:id="667" w:name="_Toc50985660"/>
      <w:bookmarkStart w:id="668" w:name="_Toc50985612"/>
      <w:bookmarkStart w:id="669" w:name="_Toc50985483"/>
      <w:bookmarkStart w:id="670" w:name="_Toc50895828"/>
      <w:bookmarkStart w:id="671" w:name="_Toc50893961"/>
      <w:bookmarkStart w:id="672" w:name="_Toc184455354"/>
      <w:bookmarkStart w:id="673" w:name="_Toc185326905"/>
      <w:bookmarkStart w:id="674" w:name="_Toc82485154"/>
      <w:bookmarkStart w:id="675" w:name="_Toc184450814"/>
      <w:bookmarkStart w:id="676" w:name="_Toc184437998"/>
      <w:bookmarkStart w:id="677" w:name="_Toc50893652"/>
      <w:bookmarkStart w:id="678" w:name="_Toc163976172"/>
      <w:bookmarkStart w:id="679" w:name="_Toc163975924"/>
      <w:bookmarkStart w:id="680" w:name="_Toc163975866"/>
      <w:bookmarkStart w:id="681" w:name="_Toc163975726"/>
      <w:bookmarkStart w:id="682" w:name="_Toc83810790"/>
      <w:bookmarkStart w:id="683" w:name="_Toc163975563"/>
      <w:bookmarkStart w:id="684" w:name="_Toc163975799"/>
      <w:bookmarkStart w:id="685" w:name="_Toc83810519"/>
      <w:bookmarkStart w:id="686" w:name="_Toc83809767"/>
      <w:bookmarkStart w:id="687" w:name="_Toc83809643"/>
      <w:bookmarkStart w:id="688" w:name="_Toc82502372"/>
      <w:bookmarkStart w:id="689" w:name="_Toc50893605"/>
      <w:bookmarkStart w:id="690" w:name="_Toc82246210"/>
      <w:bookmarkStart w:id="691" w:name="_Toc70081327"/>
      <w:bookmarkStart w:id="692" w:name="_Toc52175480"/>
      <w:bookmarkStart w:id="693" w:name="_Toc67131252"/>
      <w:bookmarkStart w:id="694" w:name="_Toc70081230"/>
      <w:bookmarkStart w:id="695" w:name="_Toc50985744"/>
      <w:bookmarkStart w:id="696" w:name="_Toc80582216"/>
      <w:bookmarkStart w:id="697" w:name="_Toc167105249"/>
      <w:bookmarkStart w:id="698" w:name="_Toc50893480"/>
      <w:r>
        <w:rPr>
          <w:rFonts w:ascii="Arial" w:hAnsi="Arial" w:eastAsia="黑体" w:cs="Arial"/>
          <w:sz w:val="30"/>
          <w:szCs w:val="30"/>
        </w:rPr>
        <w:t>附件7磋商保证金承诺函</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djustRightInd w:val="0"/>
        <w:snapToGrid w:val="0"/>
        <w:spacing w:after="120" w:afterLines="50" w:line="360" w:lineRule="auto"/>
        <w:ind w:right="338" w:rightChars="161"/>
        <w:jc w:val="center"/>
        <w:rPr>
          <w:rFonts w:ascii="Arial" w:hAnsi="Arial" w:eastAsia="黑体" w:cs="Arial"/>
          <w:sz w:val="30"/>
          <w:szCs w:val="30"/>
        </w:rPr>
      </w:pPr>
    </w:p>
    <w:p>
      <w:pPr>
        <w:pStyle w:val="45"/>
        <w:snapToGrid w:val="0"/>
        <w:spacing w:after="120" w:afterLines="50" w:line="360" w:lineRule="auto"/>
        <w:ind w:right="338" w:rightChars="161"/>
        <w:rPr>
          <w:rFonts w:ascii="Arial" w:hAnsi="Arial" w:cs="Arial"/>
          <w:sz w:val="24"/>
        </w:rPr>
      </w:pPr>
      <w:r>
        <w:rPr>
          <w:rFonts w:ascii="Arial" w:hAnsi="Arial" w:cs="Arial"/>
          <w:sz w:val="24"/>
        </w:rPr>
        <w:t>中信国际招标有限公司：</w:t>
      </w:r>
    </w:p>
    <w:p>
      <w:pPr>
        <w:pStyle w:val="45"/>
        <w:snapToGrid w:val="0"/>
        <w:spacing w:line="360" w:lineRule="auto"/>
        <w:ind w:right="338" w:rightChars="161" w:firstLine="480" w:firstLineChars="200"/>
        <w:rPr>
          <w:rFonts w:ascii="Arial" w:hAnsi="Arial" w:cs="Arial"/>
          <w:sz w:val="24"/>
        </w:rPr>
      </w:pPr>
      <w:r>
        <w:rPr>
          <w:rFonts w:ascii="Arial" w:hAnsi="Arial" w:cs="Arial"/>
          <w:sz w:val="24"/>
        </w:rPr>
        <w:t>在本次招标活动中，我公司愿以___________（电汇）形式提交磋商保证金并做出以下承诺：</w:t>
      </w:r>
    </w:p>
    <w:p>
      <w:pPr>
        <w:pStyle w:val="45"/>
        <w:numPr>
          <w:ilvl w:val="0"/>
          <w:numId w:val="45"/>
        </w:numPr>
        <w:snapToGrid w:val="0"/>
        <w:spacing w:line="360" w:lineRule="auto"/>
        <w:ind w:right="338" w:rightChars="161"/>
        <w:rPr>
          <w:rFonts w:ascii="Arial" w:hAnsi="Arial" w:cs="Arial"/>
          <w:sz w:val="24"/>
        </w:rPr>
      </w:pPr>
      <w:r>
        <w:rPr>
          <w:rFonts w:ascii="Arial" w:hAnsi="Arial" w:cs="Arial"/>
          <w:sz w:val="24"/>
        </w:rPr>
        <w:t>保证金金额（大写）____________________元；</w:t>
      </w:r>
    </w:p>
    <w:p>
      <w:pPr>
        <w:pStyle w:val="45"/>
        <w:numPr>
          <w:ilvl w:val="0"/>
          <w:numId w:val="45"/>
        </w:numPr>
        <w:snapToGrid w:val="0"/>
        <w:spacing w:line="360" w:lineRule="auto"/>
        <w:ind w:right="338" w:rightChars="161"/>
        <w:rPr>
          <w:rFonts w:ascii="Arial" w:hAnsi="Arial" w:cs="Arial"/>
          <w:sz w:val="24"/>
        </w:rPr>
      </w:pPr>
      <w:r>
        <w:rPr>
          <w:rFonts w:ascii="Arial" w:hAnsi="Arial" w:cs="Arial"/>
          <w:sz w:val="24"/>
        </w:rPr>
        <w:t>我公司做出以下任何一种事实，磋商保证金将不予退还：</w:t>
      </w:r>
    </w:p>
    <w:p>
      <w:pPr>
        <w:pStyle w:val="45"/>
        <w:numPr>
          <w:ilvl w:val="0"/>
          <w:numId w:val="5"/>
        </w:numPr>
        <w:snapToGrid w:val="0"/>
        <w:spacing w:line="360" w:lineRule="auto"/>
        <w:ind w:right="338" w:rightChars="161"/>
        <w:rPr>
          <w:rFonts w:ascii="Arial" w:hAnsi="Arial" w:cs="Arial"/>
          <w:sz w:val="24"/>
        </w:rPr>
      </w:pPr>
      <w:r>
        <w:rPr>
          <w:rFonts w:ascii="Arial" w:hAnsi="Arial" w:cs="Arial"/>
          <w:sz w:val="24"/>
        </w:rPr>
        <w:t>自磋商截止时间后到投标有效期满前撤回投标；或</w:t>
      </w:r>
    </w:p>
    <w:p>
      <w:pPr>
        <w:pStyle w:val="45"/>
        <w:numPr>
          <w:ilvl w:val="0"/>
          <w:numId w:val="5"/>
        </w:numPr>
        <w:snapToGrid w:val="0"/>
        <w:spacing w:line="360" w:lineRule="auto"/>
        <w:ind w:right="338" w:rightChars="161"/>
        <w:rPr>
          <w:rFonts w:ascii="Arial" w:hAnsi="Arial" w:cs="Arial"/>
          <w:sz w:val="24"/>
        </w:rPr>
      </w:pPr>
      <w:r>
        <w:rPr>
          <w:rFonts w:ascii="Arial" w:hAnsi="Arial" w:cs="Arial"/>
          <w:sz w:val="24"/>
        </w:rPr>
        <w:t>在收到中标通知后30天内未能按磋商文件、响应文件及有关澄清函的规定与招标人签订合同；或</w:t>
      </w:r>
    </w:p>
    <w:p>
      <w:pPr>
        <w:pStyle w:val="45"/>
        <w:numPr>
          <w:ilvl w:val="0"/>
          <w:numId w:val="5"/>
        </w:numPr>
        <w:snapToGrid w:val="0"/>
        <w:spacing w:line="360" w:lineRule="auto"/>
        <w:ind w:right="338" w:rightChars="161"/>
        <w:rPr>
          <w:rFonts w:ascii="Arial" w:hAnsi="Arial" w:cs="Arial"/>
          <w:sz w:val="24"/>
        </w:rPr>
      </w:pPr>
      <w:r>
        <w:rPr>
          <w:rFonts w:ascii="Arial" w:hAnsi="Arial" w:cs="Arial"/>
          <w:sz w:val="24"/>
        </w:rPr>
        <w:t>未按照磋商文件规定期限提交履约保证金；或</w:t>
      </w:r>
    </w:p>
    <w:p>
      <w:pPr>
        <w:pStyle w:val="45"/>
        <w:numPr>
          <w:ilvl w:val="0"/>
          <w:numId w:val="5"/>
        </w:numPr>
        <w:snapToGrid w:val="0"/>
        <w:spacing w:line="360" w:lineRule="auto"/>
        <w:ind w:right="338" w:rightChars="161"/>
        <w:rPr>
          <w:rFonts w:ascii="Arial" w:hAnsi="Arial" w:cs="Arial"/>
          <w:sz w:val="24"/>
        </w:rPr>
      </w:pPr>
      <w:r>
        <w:rPr>
          <w:rFonts w:ascii="Arial" w:hAnsi="Arial" w:cs="Arial"/>
          <w:sz w:val="24"/>
        </w:rPr>
        <w:t>未按照磋商文件规定期限提交招标代理服务费。</w:t>
      </w:r>
    </w:p>
    <w:p>
      <w:pPr>
        <w:pStyle w:val="45"/>
        <w:snapToGrid w:val="0"/>
        <w:spacing w:line="360" w:lineRule="auto"/>
        <w:ind w:right="338" w:rightChars="161" w:firstLine="480" w:firstLineChars="200"/>
        <w:rPr>
          <w:rFonts w:ascii="Arial" w:hAnsi="Arial" w:cs="Arial"/>
          <w:sz w:val="24"/>
        </w:rPr>
      </w:pPr>
      <w:r>
        <w:rPr>
          <w:rFonts w:ascii="Arial" w:hAnsi="Arial" w:cs="Arial"/>
          <w:sz w:val="24"/>
        </w:rPr>
        <w:t>保证金自磋商之日起生效，直到磋商截止时间后90个日历日内有效。</w:t>
      </w:r>
    </w:p>
    <w:p>
      <w:pPr>
        <w:pStyle w:val="45"/>
        <w:spacing w:line="360" w:lineRule="auto"/>
        <w:ind w:right="338" w:rightChars="161" w:firstLine="420"/>
        <w:rPr>
          <w:rFonts w:ascii="Arial" w:hAnsi="Arial" w:cs="Arial"/>
          <w:sz w:val="24"/>
        </w:rPr>
      </w:pPr>
      <w:r>
        <w:rPr>
          <w:rFonts w:ascii="Arial" w:hAnsi="Arial" w:cs="Arial"/>
          <w:sz w:val="24"/>
        </w:rPr>
        <w:t>我司开户银行为</w:t>
      </w:r>
      <w:r>
        <w:rPr>
          <w:rFonts w:ascii="Arial" w:hAnsi="Arial" w:cs="Arial"/>
          <w:sz w:val="24"/>
          <w:u w:val="single"/>
        </w:rPr>
        <w:t>。</w:t>
      </w:r>
    </w:p>
    <w:p>
      <w:pPr>
        <w:pStyle w:val="45"/>
        <w:spacing w:line="360" w:lineRule="auto"/>
        <w:ind w:right="338" w:rightChars="161" w:firstLine="420"/>
        <w:rPr>
          <w:rFonts w:ascii="Arial" w:hAnsi="Arial" w:cs="Arial"/>
          <w:sz w:val="24"/>
        </w:rPr>
      </w:pPr>
      <w:r>
        <w:rPr>
          <w:rFonts w:ascii="Arial" w:hAnsi="Arial" w:cs="Arial"/>
          <w:sz w:val="24"/>
        </w:rPr>
        <w:t>账号为：。</w:t>
      </w:r>
    </w:p>
    <w:p>
      <w:pPr>
        <w:pStyle w:val="45"/>
        <w:spacing w:line="360" w:lineRule="auto"/>
        <w:ind w:right="338" w:rightChars="161" w:firstLine="420"/>
        <w:rPr>
          <w:rFonts w:ascii="Arial" w:hAnsi="Arial" w:cs="Arial"/>
          <w:sz w:val="24"/>
          <w:u w:val="single"/>
        </w:rPr>
      </w:pPr>
      <w:r>
        <w:rPr>
          <w:rFonts w:ascii="Arial" w:hAnsi="Arial" w:cs="Arial"/>
          <w:sz w:val="24"/>
        </w:rPr>
        <w:t>招标编号为</w:t>
      </w:r>
      <w:r>
        <w:rPr>
          <w:rFonts w:ascii="Arial" w:hAnsi="Arial" w:cs="Arial"/>
          <w:sz w:val="24"/>
          <w:u w:val="single"/>
        </w:rPr>
        <w:t>：。</w:t>
      </w:r>
    </w:p>
    <w:p>
      <w:pPr>
        <w:pStyle w:val="148"/>
        <w:adjustRightInd/>
        <w:snapToGrid/>
        <w:spacing w:after="0"/>
        <w:ind w:right="338" w:rightChars="161"/>
        <w:rPr>
          <w:rFonts w:ascii="Arial" w:hAnsi="Arial" w:cs="Arial"/>
        </w:rPr>
      </w:pP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公章</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ind w:right="338" w:rightChars="161"/>
        <w:rPr>
          <w:rFonts w:ascii="Arial" w:hAnsi="Arial" w:cs="Arial"/>
          <w:u w:val="single"/>
        </w:rPr>
      </w:pPr>
      <w:r>
        <w:rPr>
          <w:rFonts w:ascii="Arial" w:hAnsi="Arial" w:cs="Arial"/>
        </w:rPr>
        <w:t>日期：</w:t>
      </w:r>
    </w:p>
    <w:p>
      <w:pPr>
        <w:pStyle w:val="148"/>
        <w:adjustRightInd/>
        <w:snapToGrid/>
        <w:spacing w:after="0"/>
        <w:ind w:right="338" w:rightChars="161"/>
        <w:rPr>
          <w:rFonts w:ascii="Arial" w:hAnsi="Arial" w:cs="Arial"/>
          <w:u w:val="single"/>
        </w:rPr>
      </w:pPr>
    </w:p>
    <w:p>
      <w:pPr>
        <w:adjustRightInd w:val="0"/>
        <w:snapToGrid w:val="0"/>
        <w:spacing w:after="120" w:afterLines="50" w:line="360" w:lineRule="auto"/>
        <w:ind w:right="338" w:rightChars="161"/>
        <w:jc w:val="center"/>
        <w:rPr>
          <w:rFonts w:ascii="Arial" w:hAnsi="Arial" w:eastAsia="黑体" w:cs="Arial"/>
          <w:sz w:val="30"/>
          <w:szCs w:val="30"/>
        </w:rPr>
        <w:sectPr>
          <w:pgSz w:w="11906" w:h="16838"/>
          <w:pgMar w:top="1247" w:right="1247" w:bottom="1247" w:left="1247" w:header="851" w:footer="992" w:gutter="0"/>
          <w:cols w:space="720" w:num="1"/>
          <w:titlePg/>
          <w:docGrid w:linePitch="312" w:charSpace="0"/>
        </w:sectPr>
      </w:pPr>
    </w:p>
    <w:p>
      <w:pPr>
        <w:adjustRightInd w:val="0"/>
        <w:snapToGrid w:val="0"/>
        <w:spacing w:after="120" w:afterLines="50" w:line="360" w:lineRule="auto"/>
        <w:ind w:right="338" w:rightChars="161"/>
        <w:jc w:val="center"/>
        <w:rPr>
          <w:rFonts w:ascii="Arial" w:hAnsi="Arial" w:eastAsia="黑体" w:cs="Arial"/>
          <w:sz w:val="30"/>
          <w:szCs w:val="30"/>
        </w:rPr>
      </w:pPr>
      <w:bookmarkStart w:id="699" w:name="_Toc83810791"/>
      <w:bookmarkStart w:id="700" w:name="_Toc163975564"/>
      <w:bookmarkStart w:id="701" w:name="_Toc163975727"/>
      <w:bookmarkStart w:id="702" w:name="_Toc163975800"/>
      <w:bookmarkStart w:id="703" w:name="_Toc163975867"/>
      <w:bookmarkStart w:id="704" w:name="_Toc163975925"/>
      <w:bookmarkStart w:id="705" w:name="_Toc163976173"/>
      <w:bookmarkStart w:id="706" w:name="_Toc167105250"/>
      <w:bookmarkStart w:id="707" w:name="_Toc184437999"/>
      <w:bookmarkStart w:id="708" w:name="_Toc184450815"/>
      <w:bookmarkStart w:id="709" w:name="_Toc184455355"/>
      <w:bookmarkStart w:id="710" w:name="_Toc185326906"/>
      <w:bookmarkStart w:id="711" w:name="_Toc82246211"/>
      <w:bookmarkStart w:id="712" w:name="_Toc82246262"/>
      <w:bookmarkStart w:id="713" w:name="_Toc82328647"/>
      <w:bookmarkStart w:id="714" w:name="_Toc82485155"/>
      <w:bookmarkStart w:id="715" w:name="_Toc82502373"/>
      <w:bookmarkStart w:id="716" w:name="_Toc83809644"/>
      <w:bookmarkStart w:id="717" w:name="_Toc83809768"/>
      <w:bookmarkStart w:id="718" w:name="_Toc83810520"/>
      <w:bookmarkStart w:id="719" w:name="_Toc50893481"/>
      <w:bookmarkStart w:id="720" w:name="_Toc50893606"/>
      <w:bookmarkStart w:id="721" w:name="_Toc50893653"/>
      <w:bookmarkStart w:id="722" w:name="_Toc50893962"/>
      <w:bookmarkStart w:id="723" w:name="_Toc50895829"/>
      <w:bookmarkStart w:id="724" w:name="_Toc50985484"/>
      <w:bookmarkStart w:id="725" w:name="_Toc50985613"/>
      <w:bookmarkStart w:id="726" w:name="_Toc50985661"/>
      <w:bookmarkStart w:id="727" w:name="_Toc50985745"/>
      <w:bookmarkStart w:id="728" w:name="_Toc52175481"/>
      <w:bookmarkStart w:id="729" w:name="_Toc67131253"/>
      <w:bookmarkStart w:id="730" w:name="_Toc70081231"/>
      <w:bookmarkStart w:id="731" w:name="_Toc70081328"/>
      <w:bookmarkStart w:id="732" w:name="_Toc80582217"/>
      <w:bookmarkStart w:id="733" w:name="_Toc82246212"/>
      <w:bookmarkStart w:id="734" w:name="_Toc82246263"/>
      <w:bookmarkStart w:id="735" w:name="_Toc82328648"/>
      <w:bookmarkStart w:id="736" w:name="_Toc82485156"/>
      <w:bookmarkStart w:id="737" w:name="_Toc82502374"/>
      <w:bookmarkStart w:id="738" w:name="_Toc83809645"/>
      <w:bookmarkStart w:id="739" w:name="_Toc83809769"/>
      <w:bookmarkStart w:id="740" w:name="_Toc83810521"/>
      <w:bookmarkStart w:id="741" w:name="_Toc83810792"/>
      <w:bookmarkStart w:id="742" w:name="_Toc163975565"/>
      <w:bookmarkStart w:id="743" w:name="_Toc163975728"/>
      <w:bookmarkStart w:id="744" w:name="_Toc163975801"/>
      <w:bookmarkStart w:id="745" w:name="_Toc163975868"/>
      <w:bookmarkStart w:id="746" w:name="_Toc163975926"/>
      <w:bookmarkStart w:id="747" w:name="_Toc163976174"/>
      <w:bookmarkStart w:id="748" w:name="_Toc46107916"/>
      <w:r>
        <w:rPr>
          <w:rFonts w:ascii="Arial" w:hAnsi="Arial" w:eastAsia="黑体" w:cs="Arial"/>
          <w:sz w:val="30"/>
          <w:szCs w:val="30"/>
        </w:rPr>
        <w:t>附件8 招标服务费承诺函</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adjustRightInd w:val="0"/>
        <w:snapToGrid w:val="0"/>
        <w:spacing w:after="120" w:afterLines="50" w:line="360" w:lineRule="auto"/>
        <w:ind w:right="338" w:rightChars="161"/>
        <w:jc w:val="center"/>
        <w:rPr>
          <w:rFonts w:ascii="Arial" w:hAnsi="Arial" w:eastAsia="黑体" w:cs="Arial"/>
          <w:sz w:val="30"/>
          <w:szCs w:val="30"/>
        </w:rPr>
      </w:pPr>
    </w:p>
    <w:p>
      <w:pPr>
        <w:pStyle w:val="45"/>
        <w:snapToGrid w:val="0"/>
        <w:spacing w:after="120" w:afterLines="50" w:line="360" w:lineRule="auto"/>
        <w:ind w:right="338" w:rightChars="161"/>
        <w:rPr>
          <w:rFonts w:ascii="Arial" w:hAnsi="Arial" w:cs="Arial"/>
          <w:sz w:val="24"/>
        </w:rPr>
      </w:pPr>
      <w:r>
        <w:rPr>
          <w:rFonts w:ascii="Arial" w:hAnsi="Arial" w:cs="Arial"/>
          <w:sz w:val="24"/>
        </w:rPr>
        <w:t>中信国际招标有限公司：</w:t>
      </w:r>
    </w:p>
    <w:p>
      <w:pPr>
        <w:spacing w:line="360" w:lineRule="auto"/>
        <w:ind w:right="338" w:rightChars="161" w:firstLine="480" w:firstLineChars="200"/>
        <w:rPr>
          <w:rFonts w:ascii="Arial" w:hAnsi="Arial" w:cs="Arial"/>
          <w:sz w:val="24"/>
        </w:rPr>
      </w:pPr>
      <w:r>
        <w:rPr>
          <w:rFonts w:ascii="Arial" w:hAnsi="Arial" w:cs="Arial"/>
          <w:sz w:val="24"/>
        </w:rPr>
        <w:t>我司在贵司组织的项目（磋商文件编号: ）招标中若获中标，我司保证在中标通知书发出的同时按磋商文件的规定，以电汇形式向贵司即中信国际招标有限公司（北京市朝阳区新源南路六号京城大厦A座7层（邮编：100027））如下账户支付服务费（中标人须按</w:t>
      </w:r>
      <w:r>
        <w:rPr>
          <w:rFonts w:ascii="Arial" w:hAnsi="Arial" w:eastAsia="黑体" w:cs="Arial"/>
          <w:sz w:val="24"/>
        </w:rPr>
        <w:t>供应商须知第24条</w:t>
      </w:r>
      <w:r>
        <w:rPr>
          <w:rFonts w:ascii="Arial" w:hAnsi="Arial" w:cs="Arial"/>
          <w:sz w:val="24"/>
        </w:rPr>
        <w:t>的规定向招标代理机构支付招标代理服务费</w:t>
      </w:r>
      <w:r>
        <w:rPr>
          <w:rFonts w:ascii="Arial" w:hAnsi="Arial" w:cs="Arial"/>
          <w:bCs/>
          <w:sz w:val="24"/>
        </w:rPr>
        <w:t>）</w:t>
      </w:r>
      <w:r>
        <w:rPr>
          <w:rFonts w:ascii="Arial" w:hAnsi="Arial" w:cs="Arial"/>
          <w:sz w:val="24"/>
        </w:rPr>
        <w:t>。如我司未按上述承诺支付服务费，贵司有权取消我司中标资格并不退还我方的磋商保证金，由此产生的一切法律后果和责任由我司承担，我司声明放弃对此提出任何异议和追索的权利。</w:t>
      </w:r>
    </w:p>
    <w:p>
      <w:pPr>
        <w:spacing w:line="360" w:lineRule="auto"/>
        <w:ind w:right="338" w:rightChars="161" w:firstLine="408" w:firstLineChars="170"/>
        <w:rPr>
          <w:rFonts w:ascii="Arial" w:hAnsi="Arial" w:cs="Arial"/>
          <w:sz w:val="24"/>
        </w:rPr>
      </w:pPr>
    </w:p>
    <w:p>
      <w:pPr>
        <w:spacing w:line="360" w:lineRule="auto"/>
        <w:ind w:right="338" w:rightChars="161" w:firstLine="482" w:firstLineChars="200"/>
        <w:rPr>
          <w:rFonts w:ascii="Arial" w:hAnsi="Arial" w:cs="Arial"/>
          <w:b/>
          <w:sz w:val="24"/>
        </w:rPr>
      </w:pPr>
      <w:r>
        <w:rPr>
          <w:rFonts w:ascii="Arial" w:hAnsi="Arial" w:cs="Arial"/>
          <w:b/>
          <w:sz w:val="24"/>
        </w:rPr>
        <w:t>我司开户行账号信息如下：</w:t>
      </w:r>
    </w:p>
    <w:p>
      <w:pPr>
        <w:spacing w:line="360" w:lineRule="auto"/>
        <w:ind w:right="338" w:rightChars="161" w:firstLine="480" w:firstLineChars="200"/>
        <w:rPr>
          <w:rFonts w:ascii="Arial" w:hAnsi="Arial" w:cs="Arial"/>
          <w:sz w:val="24"/>
        </w:rPr>
      </w:pPr>
      <w:r>
        <w:rPr>
          <w:rFonts w:ascii="Arial" w:hAnsi="Arial" w:cs="Arial"/>
          <w:sz w:val="24"/>
        </w:rPr>
        <w:t>户名：中信国际招标有限公司</w:t>
      </w:r>
    </w:p>
    <w:p>
      <w:pPr>
        <w:spacing w:line="360" w:lineRule="auto"/>
        <w:ind w:right="338" w:rightChars="161" w:firstLine="480" w:firstLineChars="200"/>
        <w:rPr>
          <w:rFonts w:ascii="Arial" w:hAnsi="Arial" w:cs="Arial"/>
          <w:sz w:val="24"/>
        </w:rPr>
      </w:pPr>
      <w:r>
        <w:rPr>
          <w:rFonts w:ascii="Arial" w:hAnsi="Arial" w:cs="Arial"/>
          <w:sz w:val="24"/>
        </w:rPr>
        <w:t>开户银行：中信银行北京京城大厦支行</w:t>
      </w:r>
    </w:p>
    <w:p>
      <w:pPr>
        <w:spacing w:line="360" w:lineRule="auto"/>
        <w:ind w:right="338" w:rightChars="161" w:firstLine="480" w:firstLineChars="200"/>
        <w:rPr>
          <w:rFonts w:ascii="Arial" w:hAnsi="Arial" w:cs="Arial"/>
          <w:sz w:val="24"/>
        </w:rPr>
      </w:pPr>
      <w:r>
        <w:rPr>
          <w:rFonts w:ascii="Arial" w:hAnsi="Arial" w:cs="Arial"/>
          <w:sz w:val="24"/>
        </w:rPr>
        <w:t>账号（人民币）：7110210182600030709</w:t>
      </w:r>
    </w:p>
    <w:p>
      <w:pPr>
        <w:spacing w:line="360" w:lineRule="auto"/>
        <w:ind w:right="338" w:rightChars="161" w:firstLine="480" w:firstLineChars="200"/>
        <w:rPr>
          <w:rFonts w:ascii="Arial" w:hAnsi="Arial" w:cs="Arial"/>
          <w:sz w:val="24"/>
        </w:rPr>
      </w:pPr>
      <w:r>
        <w:rPr>
          <w:rFonts w:ascii="Arial" w:hAnsi="Arial" w:cs="Arial"/>
          <w:sz w:val="24"/>
        </w:rPr>
        <w:t>特此承诺！</w:t>
      </w:r>
    </w:p>
    <w:p>
      <w:pPr>
        <w:spacing w:line="360" w:lineRule="auto"/>
        <w:ind w:right="338" w:rightChars="161"/>
        <w:rPr>
          <w:rFonts w:ascii="Arial" w:hAnsi="Arial" w:cs="Arial"/>
          <w:sz w:val="24"/>
        </w:rPr>
      </w:pPr>
    </w:p>
    <w:p>
      <w:pPr>
        <w:spacing w:line="360" w:lineRule="auto"/>
        <w:ind w:right="338" w:rightChars="161"/>
        <w:rPr>
          <w:rFonts w:ascii="Arial" w:hAnsi="Arial" w:cs="Arial"/>
          <w:sz w:val="24"/>
        </w:rPr>
      </w:pPr>
      <w:r>
        <w:rPr>
          <w:rFonts w:ascii="Arial" w:hAnsi="Arial" w:cs="Arial"/>
          <w:sz w:val="24"/>
        </w:rPr>
        <w:t>承诺方法定名称：</w:t>
      </w:r>
    </w:p>
    <w:p>
      <w:pPr>
        <w:spacing w:line="360" w:lineRule="auto"/>
        <w:ind w:right="338" w:rightChars="161"/>
        <w:rPr>
          <w:rFonts w:ascii="Arial" w:hAnsi="Arial" w:cs="Arial"/>
          <w:sz w:val="24"/>
        </w:rPr>
      </w:pPr>
      <w:r>
        <w:rPr>
          <w:rFonts w:ascii="Arial" w:hAnsi="Arial" w:cs="Arial"/>
          <w:sz w:val="24"/>
        </w:rPr>
        <w:t>地址：</w:t>
      </w:r>
    </w:p>
    <w:p>
      <w:pPr>
        <w:spacing w:line="360" w:lineRule="auto"/>
        <w:ind w:right="338" w:rightChars="161"/>
        <w:rPr>
          <w:rFonts w:ascii="Arial" w:hAnsi="Arial" w:cs="Arial"/>
          <w:sz w:val="24"/>
        </w:rPr>
      </w:pPr>
      <w:r>
        <w:rPr>
          <w:rFonts w:ascii="Arial" w:hAnsi="Arial" w:cs="Arial"/>
          <w:sz w:val="24"/>
        </w:rPr>
        <w:t>电话：传真：</w:t>
      </w:r>
    </w:p>
    <w:p>
      <w:pPr>
        <w:spacing w:line="360" w:lineRule="auto"/>
        <w:ind w:right="338" w:rightChars="161"/>
        <w:rPr>
          <w:rFonts w:ascii="Arial" w:hAnsi="Arial" w:cs="Arial"/>
          <w:sz w:val="24"/>
        </w:rPr>
      </w:pPr>
      <w:r>
        <w:rPr>
          <w:rFonts w:ascii="Arial" w:hAnsi="Arial" w:cs="Arial"/>
          <w:sz w:val="24"/>
        </w:rPr>
        <w:t>邮编：</w:t>
      </w:r>
    </w:p>
    <w:p>
      <w:pPr>
        <w:spacing w:line="360" w:lineRule="auto"/>
        <w:ind w:right="338" w:rightChars="161"/>
        <w:rPr>
          <w:rFonts w:ascii="Arial" w:hAnsi="Arial" w:cs="Arial"/>
          <w:sz w:val="24"/>
        </w:rPr>
      </w:pPr>
      <w:r>
        <w:rPr>
          <w:rFonts w:ascii="Arial" w:hAnsi="Arial" w:cs="Arial"/>
          <w:sz w:val="24"/>
        </w:rPr>
        <w:t>承诺方法人授权代表签字：（承诺方盖章）</w:t>
      </w:r>
    </w:p>
    <w:p>
      <w:pPr>
        <w:spacing w:line="360" w:lineRule="auto"/>
        <w:ind w:right="338" w:rightChars="161"/>
        <w:rPr>
          <w:rFonts w:ascii="Arial" w:hAnsi="Arial" w:cs="Arial"/>
          <w:sz w:val="24"/>
        </w:rPr>
      </w:pPr>
      <w:r>
        <w:rPr>
          <w:rFonts w:ascii="Arial" w:hAnsi="Arial" w:cs="Arial"/>
          <w:sz w:val="24"/>
        </w:rPr>
        <w:t>承诺日期：</w:t>
      </w:r>
    </w:p>
    <w:p>
      <w:pPr>
        <w:spacing w:line="360" w:lineRule="auto"/>
        <w:ind w:right="338" w:rightChars="161"/>
        <w:rPr>
          <w:rFonts w:ascii="Arial" w:hAnsi="Arial" w:cs="Arial"/>
          <w:sz w:val="24"/>
        </w:rPr>
      </w:pPr>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Pr>
        <w:widowControl/>
        <w:ind w:right="338" w:rightChars="161"/>
        <w:jc w:val="left"/>
        <w:rPr>
          <w:rFonts w:ascii="Arial" w:hAnsi="Arial" w:eastAsia="黑体" w:cs="Arial"/>
          <w:sz w:val="30"/>
          <w:szCs w:val="30"/>
        </w:rPr>
      </w:pPr>
      <w:r>
        <w:rPr>
          <w:rFonts w:ascii="Arial" w:hAnsi="Arial" w:eastAsia="黑体" w:cs="Arial"/>
          <w:sz w:val="30"/>
          <w:szCs w:val="30"/>
        </w:rPr>
        <w:br w:type="page"/>
      </w:r>
    </w:p>
    <w:p>
      <w:pPr>
        <w:spacing w:line="360" w:lineRule="auto"/>
        <w:ind w:right="338" w:rightChars="161"/>
        <w:jc w:val="center"/>
        <w:rPr>
          <w:rFonts w:ascii="Arial" w:hAnsi="Arial" w:eastAsia="黑体" w:cs="Arial"/>
          <w:sz w:val="30"/>
          <w:szCs w:val="30"/>
        </w:rPr>
      </w:pPr>
      <w:bookmarkStart w:id="749" w:name="_Toc50985485"/>
      <w:bookmarkStart w:id="750" w:name="_Toc50895830"/>
      <w:bookmarkStart w:id="751" w:name="_Toc50893963"/>
      <w:bookmarkStart w:id="752" w:name="_Toc50985614"/>
      <w:bookmarkStart w:id="753" w:name="_Toc50985662"/>
      <w:bookmarkStart w:id="754" w:name="_Toc50985746"/>
      <w:bookmarkStart w:id="755" w:name="_Toc52175482"/>
      <w:bookmarkStart w:id="756" w:name="_Toc67131254"/>
      <w:bookmarkStart w:id="757" w:name="_Toc70081232"/>
      <w:bookmarkStart w:id="758" w:name="_Toc70081329"/>
      <w:bookmarkStart w:id="759" w:name="_Toc80582218"/>
      <w:bookmarkStart w:id="760" w:name="_Toc82246213"/>
      <w:bookmarkStart w:id="761" w:name="_Toc82246264"/>
      <w:bookmarkStart w:id="762" w:name="_Toc82328649"/>
      <w:bookmarkStart w:id="763" w:name="_Toc82485157"/>
      <w:bookmarkStart w:id="764" w:name="_Toc82502375"/>
      <w:bookmarkStart w:id="765" w:name="_Toc50893654"/>
      <w:bookmarkStart w:id="766" w:name="_Toc83809770"/>
      <w:bookmarkStart w:id="767" w:name="_Toc83810522"/>
      <w:bookmarkStart w:id="768" w:name="_Toc83810793"/>
      <w:bookmarkStart w:id="769" w:name="_Toc163975567"/>
      <w:bookmarkStart w:id="770" w:name="_Toc163975730"/>
      <w:bookmarkStart w:id="771" w:name="_Toc163975803"/>
      <w:bookmarkStart w:id="772" w:name="_Toc163975870"/>
      <w:bookmarkStart w:id="773" w:name="_Toc163975928"/>
      <w:bookmarkStart w:id="774" w:name="_Toc163976176"/>
      <w:bookmarkStart w:id="775" w:name="_Toc167105252"/>
      <w:bookmarkStart w:id="776" w:name="_Toc184438002"/>
      <w:bookmarkStart w:id="777" w:name="_Toc185326908"/>
      <w:bookmarkStart w:id="778" w:name="_Toc83809646"/>
      <w:bookmarkStart w:id="779" w:name="_Toc50893482"/>
      <w:bookmarkStart w:id="780" w:name="_Toc50893607"/>
      <w:r>
        <w:rPr>
          <w:rFonts w:ascii="Arial" w:hAnsi="Arial" w:eastAsia="黑体" w:cs="Arial"/>
          <w:sz w:val="30"/>
          <w:szCs w:val="30"/>
        </w:rPr>
        <w:t>附件9 供应商情况表</w:t>
      </w:r>
    </w:p>
    <w:p>
      <w:pPr>
        <w:spacing w:line="360" w:lineRule="auto"/>
        <w:ind w:right="338" w:rightChars="161"/>
        <w:jc w:val="center"/>
        <w:rPr>
          <w:rFonts w:ascii="Arial" w:hAnsi="Arial" w:eastAsia="黑体" w:cs="Arial"/>
          <w:sz w:val="30"/>
          <w:szCs w:val="30"/>
        </w:rPr>
      </w:pPr>
    </w:p>
    <w:tbl>
      <w:tblPr>
        <w:tblStyle w:val="8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304"/>
        <w:gridCol w:w="227"/>
        <w:gridCol w:w="1531"/>
        <w:gridCol w:w="54"/>
        <w:gridCol w:w="1477"/>
        <w:gridCol w:w="75"/>
        <w:gridCol w:w="1458"/>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单位名称</w:t>
            </w:r>
          </w:p>
        </w:tc>
        <w:tc>
          <w:tcPr>
            <w:tcW w:w="8098" w:type="dxa"/>
            <w:gridSpan w:val="8"/>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详细地址</w:t>
            </w:r>
          </w:p>
        </w:tc>
        <w:tc>
          <w:tcPr>
            <w:tcW w:w="8098" w:type="dxa"/>
            <w:gridSpan w:val="8"/>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主管部门</w:t>
            </w:r>
          </w:p>
        </w:tc>
        <w:tc>
          <w:tcPr>
            <w:tcW w:w="1531" w:type="dxa"/>
            <w:gridSpan w:val="2"/>
          </w:tcPr>
          <w:p>
            <w:pPr>
              <w:ind w:right="338" w:rightChars="161"/>
              <w:rPr>
                <w:rFonts w:ascii="Arial" w:hAnsi="Arial" w:cs="Arial"/>
                <w:sz w:val="24"/>
              </w:rPr>
            </w:pPr>
          </w:p>
        </w:tc>
        <w:tc>
          <w:tcPr>
            <w:tcW w:w="1531" w:type="dxa"/>
            <w:vAlign w:val="center"/>
          </w:tcPr>
          <w:p>
            <w:pPr>
              <w:ind w:right="338" w:rightChars="161"/>
              <w:jc w:val="center"/>
              <w:rPr>
                <w:rFonts w:ascii="Arial" w:hAnsi="Arial" w:eastAsia="黑体" w:cs="Arial"/>
                <w:sz w:val="24"/>
              </w:rPr>
            </w:pPr>
            <w:r>
              <w:rPr>
                <w:rFonts w:ascii="Arial" w:hAnsi="Arial" w:eastAsia="黑体" w:cs="Arial"/>
                <w:sz w:val="24"/>
              </w:rPr>
              <w:t>法定代表人</w:t>
            </w:r>
          </w:p>
        </w:tc>
        <w:tc>
          <w:tcPr>
            <w:tcW w:w="1531" w:type="dxa"/>
            <w:gridSpan w:val="2"/>
            <w:vAlign w:val="center"/>
          </w:tcPr>
          <w:p>
            <w:pPr>
              <w:ind w:right="338" w:rightChars="161"/>
              <w:jc w:val="center"/>
              <w:rPr>
                <w:rFonts w:ascii="Arial" w:hAnsi="Arial" w:eastAsia="黑体" w:cs="Arial"/>
                <w:sz w:val="24"/>
              </w:rPr>
            </w:pPr>
          </w:p>
        </w:tc>
        <w:tc>
          <w:tcPr>
            <w:tcW w:w="1533" w:type="dxa"/>
            <w:gridSpan w:val="2"/>
            <w:vAlign w:val="center"/>
          </w:tcPr>
          <w:p>
            <w:pPr>
              <w:ind w:right="338" w:rightChars="161"/>
              <w:jc w:val="center"/>
              <w:rPr>
                <w:rFonts w:ascii="Arial" w:hAnsi="Arial" w:eastAsia="黑体" w:cs="Arial"/>
                <w:sz w:val="24"/>
              </w:rPr>
            </w:pPr>
            <w:r>
              <w:rPr>
                <w:rFonts w:ascii="Arial" w:hAnsi="Arial" w:eastAsia="黑体" w:cs="Arial"/>
                <w:sz w:val="24"/>
              </w:rPr>
              <w:t>职务</w:t>
            </w:r>
          </w:p>
        </w:tc>
        <w:tc>
          <w:tcPr>
            <w:tcW w:w="1972" w:type="dxa"/>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经济类型</w:t>
            </w:r>
          </w:p>
        </w:tc>
        <w:tc>
          <w:tcPr>
            <w:tcW w:w="1531" w:type="dxa"/>
            <w:gridSpan w:val="2"/>
          </w:tcPr>
          <w:p>
            <w:pPr>
              <w:ind w:right="338" w:rightChars="161"/>
              <w:rPr>
                <w:rFonts w:ascii="Arial" w:hAnsi="Arial" w:cs="Arial"/>
                <w:sz w:val="24"/>
              </w:rPr>
            </w:pPr>
          </w:p>
        </w:tc>
        <w:tc>
          <w:tcPr>
            <w:tcW w:w="1531" w:type="dxa"/>
            <w:vAlign w:val="center"/>
          </w:tcPr>
          <w:p>
            <w:pPr>
              <w:ind w:right="338" w:rightChars="161"/>
              <w:jc w:val="center"/>
              <w:rPr>
                <w:rFonts w:ascii="Arial" w:hAnsi="Arial" w:eastAsia="黑体" w:cs="Arial"/>
                <w:sz w:val="24"/>
              </w:rPr>
            </w:pPr>
            <w:r>
              <w:rPr>
                <w:rFonts w:ascii="Arial" w:hAnsi="Arial" w:eastAsia="黑体" w:cs="Arial"/>
                <w:sz w:val="24"/>
              </w:rPr>
              <w:t>授权代表</w:t>
            </w:r>
          </w:p>
        </w:tc>
        <w:tc>
          <w:tcPr>
            <w:tcW w:w="1531" w:type="dxa"/>
            <w:gridSpan w:val="2"/>
            <w:vAlign w:val="center"/>
          </w:tcPr>
          <w:p>
            <w:pPr>
              <w:ind w:right="338" w:rightChars="161"/>
              <w:jc w:val="center"/>
              <w:rPr>
                <w:rFonts w:ascii="Arial" w:hAnsi="Arial" w:eastAsia="黑体" w:cs="Arial"/>
                <w:sz w:val="24"/>
              </w:rPr>
            </w:pPr>
          </w:p>
        </w:tc>
        <w:tc>
          <w:tcPr>
            <w:tcW w:w="1533" w:type="dxa"/>
            <w:gridSpan w:val="2"/>
            <w:vAlign w:val="center"/>
          </w:tcPr>
          <w:p>
            <w:pPr>
              <w:ind w:right="338" w:rightChars="161"/>
              <w:jc w:val="center"/>
              <w:rPr>
                <w:rFonts w:ascii="Arial" w:hAnsi="Arial" w:eastAsia="黑体" w:cs="Arial"/>
                <w:sz w:val="24"/>
              </w:rPr>
            </w:pPr>
            <w:r>
              <w:rPr>
                <w:rFonts w:ascii="Arial" w:hAnsi="Arial" w:eastAsia="黑体" w:cs="Arial"/>
                <w:sz w:val="24"/>
              </w:rPr>
              <w:t>职务</w:t>
            </w:r>
          </w:p>
        </w:tc>
        <w:tc>
          <w:tcPr>
            <w:tcW w:w="1972" w:type="dxa"/>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邮政编码</w:t>
            </w:r>
          </w:p>
        </w:tc>
        <w:tc>
          <w:tcPr>
            <w:tcW w:w="1531" w:type="dxa"/>
            <w:gridSpan w:val="2"/>
          </w:tcPr>
          <w:p>
            <w:pPr>
              <w:ind w:right="338" w:rightChars="161"/>
              <w:rPr>
                <w:rFonts w:ascii="Arial" w:hAnsi="Arial" w:cs="Arial"/>
                <w:sz w:val="24"/>
              </w:rPr>
            </w:pPr>
          </w:p>
        </w:tc>
        <w:tc>
          <w:tcPr>
            <w:tcW w:w="1531" w:type="dxa"/>
            <w:vAlign w:val="center"/>
          </w:tcPr>
          <w:p>
            <w:pPr>
              <w:ind w:right="338" w:rightChars="161"/>
              <w:jc w:val="center"/>
              <w:rPr>
                <w:rFonts w:ascii="Arial" w:hAnsi="Arial" w:eastAsia="黑体" w:cs="Arial"/>
                <w:sz w:val="24"/>
              </w:rPr>
            </w:pPr>
            <w:r>
              <w:rPr>
                <w:rFonts w:ascii="Arial" w:hAnsi="Arial" w:eastAsia="黑体" w:cs="Arial"/>
                <w:sz w:val="24"/>
              </w:rPr>
              <w:t>电话</w:t>
            </w:r>
          </w:p>
        </w:tc>
        <w:tc>
          <w:tcPr>
            <w:tcW w:w="1531" w:type="dxa"/>
            <w:gridSpan w:val="2"/>
            <w:vAlign w:val="center"/>
          </w:tcPr>
          <w:p>
            <w:pPr>
              <w:ind w:right="338" w:rightChars="161"/>
              <w:jc w:val="center"/>
              <w:rPr>
                <w:rFonts w:ascii="Arial" w:hAnsi="Arial" w:eastAsia="黑体" w:cs="Arial"/>
                <w:sz w:val="24"/>
              </w:rPr>
            </w:pPr>
          </w:p>
        </w:tc>
        <w:tc>
          <w:tcPr>
            <w:tcW w:w="1533" w:type="dxa"/>
            <w:gridSpan w:val="2"/>
            <w:vAlign w:val="center"/>
          </w:tcPr>
          <w:p>
            <w:pPr>
              <w:ind w:right="338" w:rightChars="161"/>
              <w:jc w:val="center"/>
              <w:rPr>
                <w:rFonts w:ascii="Arial" w:hAnsi="Arial" w:eastAsia="黑体" w:cs="Arial"/>
                <w:sz w:val="24"/>
              </w:rPr>
            </w:pPr>
            <w:r>
              <w:rPr>
                <w:rFonts w:ascii="Arial" w:hAnsi="Arial" w:eastAsia="黑体" w:cs="Arial"/>
                <w:sz w:val="24"/>
              </w:rPr>
              <w:t>传真</w:t>
            </w:r>
          </w:p>
        </w:tc>
        <w:tc>
          <w:tcPr>
            <w:tcW w:w="1972" w:type="dxa"/>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单位简介及机构情况</w:t>
            </w:r>
          </w:p>
        </w:tc>
        <w:tc>
          <w:tcPr>
            <w:tcW w:w="8098" w:type="dxa"/>
            <w:gridSpan w:val="8"/>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Align w:val="center"/>
          </w:tcPr>
          <w:p>
            <w:pPr>
              <w:ind w:right="338" w:rightChars="161"/>
              <w:jc w:val="center"/>
              <w:rPr>
                <w:rFonts w:ascii="Arial" w:hAnsi="Arial" w:eastAsia="黑体" w:cs="Arial"/>
                <w:sz w:val="24"/>
              </w:rPr>
            </w:pPr>
            <w:r>
              <w:rPr>
                <w:rFonts w:ascii="Arial" w:hAnsi="Arial" w:eastAsia="黑体" w:cs="Arial"/>
                <w:sz w:val="24"/>
              </w:rPr>
              <w:t>单位优势及特长</w:t>
            </w:r>
          </w:p>
        </w:tc>
        <w:tc>
          <w:tcPr>
            <w:tcW w:w="8098" w:type="dxa"/>
            <w:gridSpan w:val="8"/>
          </w:tcPr>
          <w:p>
            <w:pPr>
              <w:ind w:right="338" w:rightChars="161"/>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ind w:right="338" w:rightChars="161"/>
              <w:jc w:val="center"/>
              <w:rPr>
                <w:rFonts w:ascii="Arial" w:hAnsi="Arial" w:eastAsia="黑体" w:cs="Arial"/>
                <w:sz w:val="24"/>
              </w:rPr>
            </w:pPr>
            <w:r>
              <w:rPr>
                <w:rFonts w:ascii="Arial" w:hAnsi="Arial" w:eastAsia="黑体" w:cs="Arial"/>
                <w:sz w:val="24"/>
              </w:rPr>
              <w:t>单位概况</w:t>
            </w:r>
          </w:p>
        </w:tc>
        <w:tc>
          <w:tcPr>
            <w:tcW w:w="1304" w:type="dxa"/>
            <w:vMerge w:val="restart"/>
            <w:vAlign w:val="center"/>
          </w:tcPr>
          <w:p>
            <w:pPr>
              <w:snapToGrid w:val="0"/>
              <w:ind w:right="338" w:rightChars="161"/>
              <w:jc w:val="center"/>
              <w:rPr>
                <w:rFonts w:ascii="Arial" w:hAnsi="Arial" w:eastAsia="黑体" w:cs="Arial"/>
                <w:sz w:val="24"/>
              </w:rPr>
            </w:pPr>
            <w:r>
              <w:rPr>
                <w:rFonts w:ascii="Arial" w:hAnsi="Arial" w:eastAsia="黑体" w:cs="Arial"/>
                <w:sz w:val="24"/>
              </w:rPr>
              <w:t>职工总数</w:t>
            </w:r>
          </w:p>
        </w:tc>
        <w:tc>
          <w:tcPr>
            <w:tcW w:w="1812" w:type="dxa"/>
            <w:gridSpan w:val="3"/>
            <w:vMerge w:val="restart"/>
            <w:vAlign w:val="center"/>
          </w:tcPr>
          <w:p>
            <w:pPr>
              <w:snapToGrid w:val="0"/>
              <w:ind w:right="338" w:rightChars="161"/>
              <w:jc w:val="right"/>
              <w:rPr>
                <w:rFonts w:ascii="Arial" w:hAnsi="Arial" w:eastAsia="黑体" w:cs="Arial"/>
                <w:sz w:val="24"/>
              </w:rPr>
            </w:pPr>
            <w:r>
              <w:rPr>
                <w:rFonts w:ascii="Arial" w:hAnsi="Arial" w:eastAsia="黑体" w:cs="Arial"/>
                <w:sz w:val="24"/>
              </w:rPr>
              <w:t>人</w:t>
            </w:r>
          </w:p>
        </w:tc>
        <w:tc>
          <w:tcPr>
            <w:tcW w:w="4982" w:type="dxa"/>
            <w:gridSpan w:val="4"/>
          </w:tcPr>
          <w:p>
            <w:pPr>
              <w:ind w:right="338" w:rightChars="161"/>
              <w:rPr>
                <w:rFonts w:ascii="Arial" w:hAnsi="Arial" w:eastAsia="黑体" w:cs="Arial"/>
                <w:sz w:val="24"/>
              </w:rPr>
            </w:pPr>
            <w:r>
              <w:rPr>
                <w:rFonts w:ascii="Arial" w:hAnsi="Arial" w:eastAsia="黑体" w:cs="Arial"/>
                <w:sz w:val="24"/>
              </w:rPr>
              <w:t>管理人员人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Merge w:val="continue"/>
            <w:vAlign w:val="center"/>
          </w:tcPr>
          <w:p>
            <w:pPr>
              <w:snapToGrid w:val="0"/>
              <w:ind w:right="338" w:rightChars="161"/>
              <w:jc w:val="center"/>
              <w:rPr>
                <w:rFonts w:ascii="Arial" w:hAnsi="Arial" w:eastAsia="黑体" w:cs="Arial"/>
                <w:sz w:val="24"/>
              </w:rPr>
            </w:pPr>
          </w:p>
        </w:tc>
        <w:tc>
          <w:tcPr>
            <w:tcW w:w="1812" w:type="dxa"/>
            <w:gridSpan w:val="3"/>
            <w:vMerge w:val="continue"/>
            <w:vAlign w:val="center"/>
          </w:tcPr>
          <w:p>
            <w:pPr>
              <w:snapToGrid w:val="0"/>
              <w:ind w:right="338" w:rightChars="161"/>
              <w:jc w:val="center"/>
              <w:rPr>
                <w:rFonts w:ascii="Arial" w:hAnsi="Arial" w:eastAsia="黑体" w:cs="Arial"/>
                <w:sz w:val="24"/>
              </w:rPr>
            </w:pPr>
          </w:p>
        </w:tc>
        <w:tc>
          <w:tcPr>
            <w:tcW w:w="4982" w:type="dxa"/>
            <w:gridSpan w:val="4"/>
          </w:tcPr>
          <w:p>
            <w:pPr>
              <w:ind w:right="338" w:rightChars="161"/>
              <w:rPr>
                <w:rFonts w:ascii="Arial" w:hAnsi="Arial" w:eastAsia="黑体" w:cs="Arial"/>
                <w:sz w:val="24"/>
              </w:rPr>
            </w:pPr>
            <w:r>
              <w:rPr>
                <w:rFonts w:ascii="Arial" w:hAnsi="Arial" w:eastAsia="黑体" w:cs="Arial"/>
                <w:sz w:val="24"/>
              </w:rPr>
              <w:t>技术人员人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ascii="Arial" w:hAnsi="Arial" w:eastAsia="黑体" w:cs="Arial"/>
                <w:sz w:val="24"/>
              </w:rPr>
              <w:t>员工情况</w:t>
            </w:r>
          </w:p>
        </w:tc>
        <w:tc>
          <w:tcPr>
            <w:tcW w:w="1812" w:type="dxa"/>
            <w:gridSpan w:val="3"/>
            <w:vAlign w:val="center"/>
          </w:tcPr>
          <w:p>
            <w:pPr>
              <w:snapToGrid w:val="0"/>
              <w:ind w:right="338" w:rightChars="161"/>
              <w:jc w:val="center"/>
              <w:rPr>
                <w:rFonts w:ascii="Arial" w:hAnsi="Arial" w:eastAsia="黑体" w:cs="Arial"/>
                <w:sz w:val="24"/>
              </w:rPr>
            </w:pPr>
            <w:r>
              <w:rPr>
                <w:rFonts w:ascii="Arial" w:hAnsi="Arial" w:eastAsia="黑体" w:cs="Arial"/>
                <w:sz w:val="24"/>
              </w:rPr>
              <w:t>高级职称</w:t>
            </w:r>
          </w:p>
        </w:tc>
        <w:tc>
          <w:tcPr>
            <w:tcW w:w="1552" w:type="dxa"/>
            <w:gridSpan w:val="2"/>
            <w:vAlign w:val="center"/>
          </w:tcPr>
          <w:p>
            <w:pPr>
              <w:ind w:right="338" w:rightChars="161"/>
              <w:jc w:val="center"/>
              <w:rPr>
                <w:rFonts w:ascii="Arial" w:hAnsi="Arial" w:eastAsia="黑体" w:cs="Arial"/>
                <w:sz w:val="24"/>
              </w:rPr>
            </w:pPr>
            <w:r>
              <w:rPr>
                <w:rFonts w:ascii="Arial" w:hAnsi="Arial" w:eastAsia="黑体" w:cs="Arial"/>
                <w:sz w:val="24"/>
              </w:rPr>
              <w:t>中级职称</w:t>
            </w:r>
          </w:p>
        </w:tc>
        <w:tc>
          <w:tcPr>
            <w:tcW w:w="1458" w:type="dxa"/>
            <w:vAlign w:val="center"/>
          </w:tcPr>
          <w:p>
            <w:pPr>
              <w:ind w:right="338" w:rightChars="161"/>
              <w:jc w:val="center"/>
              <w:rPr>
                <w:rFonts w:ascii="Arial" w:hAnsi="Arial" w:eastAsia="黑体" w:cs="Arial"/>
                <w:sz w:val="24"/>
              </w:rPr>
            </w:pPr>
            <w:r>
              <w:rPr>
                <w:rFonts w:ascii="Arial" w:hAnsi="Arial" w:eastAsia="黑体" w:cs="Arial"/>
                <w:sz w:val="24"/>
              </w:rPr>
              <w:t>初级职称</w:t>
            </w:r>
          </w:p>
        </w:tc>
        <w:tc>
          <w:tcPr>
            <w:tcW w:w="1972" w:type="dxa"/>
            <w:vAlign w:val="center"/>
          </w:tcPr>
          <w:p>
            <w:pPr>
              <w:ind w:right="338" w:rightChars="161"/>
              <w:jc w:val="center"/>
              <w:rPr>
                <w:rFonts w:ascii="Arial" w:hAnsi="Arial" w:eastAsia="黑体" w:cs="Arial"/>
                <w:sz w:val="24"/>
              </w:rPr>
            </w:pPr>
            <w:r>
              <w:rPr>
                <w:rFonts w:ascii="Arial" w:hAnsi="Arial" w:eastAsia="黑体" w:cs="Arial"/>
                <w:sz w:val="24"/>
              </w:rPr>
              <w:t>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ascii="Arial" w:hAnsi="Arial" w:eastAsia="黑体" w:cs="Arial"/>
                <w:sz w:val="24"/>
              </w:rPr>
              <w:t>人数</w:t>
            </w:r>
          </w:p>
        </w:tc>
        <w:tc>
          <w:tcPr>
            <w:tcW w:w="1812" w:type="dxa"/>
            <w:gridSpan w:val="3"/>
          </w:tcPr>
          <w:p>
            <w:pPr>
              <w:snapToGrid w:val="0"/>
              <w:ind w:right="338" w:rightChars="161"/>
              <w:rPr>
                <w:rFonts w:ascii="Arial" w:hAnsi="Arial" w:eastAsia="黑体" w:cs="Arial"/>
                <w:sz w:val="24"/>
              </w:rPr>
            </w:pPr>
          </w:p>
        </w:tc>
        <w:tc>
          <w:tcPr>
            <w:tcW w:w="1552" w:type="dxa"/>
            <w:gridSpan w:val="2"/>
          </w:tcPr>
          <w:p>
            <w:pPr>
              <w:ind w:right="338" w:rightChars="161"/>
              <w:rPr>
                <w:rFonts w:ascii="Arial" w:hAnsi="Arial" w:eastAsia="黑体" w:cs="Arial"/>
                <w:sz w:val="24"/>
              </w:rPr>
            </w:pPr>
          </w:p>
        </w:tc>
        <w:tc>
          <w:tcPr>
            <w:tcW w:w="1458" w:type="dxa"/>
          </w:tcPr>
          <w:p>
            <w:pPr>
              <w:ind w:right="338" w:rightChars="161"/>
              <w:rPr>
                <w:rFonts w:ascii="Arial" w:hAnsi="Arial" w:eastAsia="黑体" w:cs="Arial"/>
                <w:sz w:val="24"/>
              </w:rPr>
            </w:pPr>
          </w:p>
        </w:tc>
        <w:tc>
          <w:tcPr>
            <w:tcW w:w="1972" w:type="dxa"/>
          </w:tcPr>
          <w:p>
            <w:pPr>
              <w:ind w:right="338" w:rightChars="161"/>
              <w:rPr>
                <w:rFonts w:ascii="Arial" w:hAnsi="Arial" w:eastAsia="黑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Merge w:val="restart"/>
            <w:vAlign w:val="center"/>
          </w:tcPr>
          <w:p>
            <w:pPr>
              <w:snapToGrid w:val="0"/>
              <w:ind w:right="338" w:rightChars="161"/>
              <w:rPr>
                <w:rFonts w:ascii="Arial" w:hAnsi="Arial" w:eastAsia="黑体" w:cs="Arial"/>
                <w:sz w:val="24"/>
              </w:rPr>
            </w:pPr>
            <w:r>
              <w:rPr>
                <w:rFonts w:ascii="Arial" w:hAnsi="Arial" w:eastAsia="黑体" w:cs="Arial"/>
                <w:sz w:val="24"/>
              </w:rPr>
              <w:t>流动资金</w:t>
            </w:r>
          </w:p>
        </w:tc>
        <w:tc>
          <w:tcPr>
            <w:tcW w:w="1812" w:type="dxa"/>
            <w:gridSpan w:val="3"/>
            <w:vMerge w:val="restart"/>
            <w:vAlign w:val="center"/>
          </w:tcPr>
          <w:p>
            <w:pPr>
              <w:snapToGrid w:val="0"/>
              <w:ind w:right="338" w:rightChars="161" w:firstLine="720"/>
              <w:jc w:val="right"/>
              <w:rPr>
                <w:rFonts w:ascii="Arial" w:hAnsi="Arial" w:eastAsia="黑体" w:cs="Arial"/>
                <w:sz w:val="24"/>
              </w:rPr>
            </w:pPr>
            <w:r>
              <w:rPr>
                <w:rFonts w:ascii="Arial" w:hAnsi="Arial" w:eastAsia="黑体" w:cs="Arial"/>
                <w:sz w:val="24"/>
              </w:rPr>
              <w:t>万元</w:t>
            </w:r>
          </w:p>
        </w:tc>
        <w:tc>
          <w:tcPr>
            <w:tcW w:w="1552" w:type="dxa"/>
            <w:gridSpan w:val="2"/>
            <w:vMerge w:val="restart"/>
            <w:vAlign w:val="center"/>
          </w:tcPr>
          <w:p>
            <w:pPr>
              <w:ind w:right="338" w:rightChars="161"/>
              <w:jc w:val="center"/>
              <w:rPr>
                <w:rFonts w:ascii="Arial" w:hAnsi="Arial" w:eastAsia="黑体" w:cs="Arial"/>
                <w:sz w:val="24"/>
              </w:rPr>
            </w:pPr>
            <w:r>
              <w:rPr>
                <w:rFonts w:ascii="Arial" w:hAnsi="Arial" w:eastAsia="黑体" w:cs="Arial"/>
                <w:sz w:val="24"/>
              </w:rPr>
              <w:t>资金来源</w:t>
            </w:r>
          </w:p>
        </w:tc>
        <w:tc>
          <w:tcPr>
            <w:tcW w:w="1458" w:type="dxa"/>
            <w:vAlign w:val="center"/>
          </w:tcPr>
          <w:p>
            <w:pPr>
              <w:ind w:right="338" w:rightChars="161"/>
              <w:jc w:val="center"/>
              <w:rPr>
                <w:rFonts w:ascii="Arial" w:hAnsi="Arial" w:eastAsia="黑体" w:cs="Arial"/>
                <w:sz w:val="24"/>
              </w:rPr>
            </w:pPr>
            <w:r>
              <w:rPr>
                <w:rFonts w:ascii="Arial" w:hAnsi="Arial" w:eastAsia="黑体" w:cs="Arial"/>
                <w:sz w:val="24"/>
              </w:rPr>
              <w:t>自有资金</w:t>
            </w:r>
          </w:p>
        </w:tc>
        <w:tc>
          <w:tcPr>
            <w:tcW w:w="1972" w:type="dxa"/>
            <w:vAlign w:val="center"/>
          </w:tcPr>
          <w:p>
            <w:pPr>
              <w:ind w:right="338" w:rightChars="161" w:firstLine="960" w:firstLineChars="400"/>
              <w:rPr>
                <w:rFonts w:ascii="Arial" w:hAnsi="Arial" w:eastAsia="黑体" w:cs="Arial"/>
                <w:sz w:val="24"/>
              </w:rPr>
            </w:pPr>
            <w:r>
              <w:rPr>
                <w:rFonts w:ascii="Arial" w:hAnsi="Arial" w:eastAsia="黑体" w:cs="Arial"/>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Merge w:val="continue"/>
            <w:vAlign w:val="center"/>
          </w:tcPr>
          <w:p>
            <w:pPr>
              <w:snapToGrid w:val="0"/>
              <w:ind w:right="338" w:rightChars="161"/>
              <w:rPr>
                <w:rFonts w:ascii="Arial" w:hAnsi="Arial" w:eastAsia="黑体" w:cs="Arial"/>
                <w:sz w:val="24"/>
              </w:rPr>
            </w:pPr>
          </w:p>
        </w:tc>
        <w:tc>
          <w:tcPr>
            <w:tcW w:w="1812" w:type="dxa"/>
            <w:gridSpan w:val="3"/>
            <w:vMerge w:val="continue"/>
            <w:vAlign w:val="center"/>
          </w:tcPr>
          <w:p>
            <w:pPr>
              <w:snapToGrid w:val="0"/>
              <w:ind w:right="338" w:rightChars="161"/>
              <w:rPr>
                <w:rFonts w:ascii="Arial" w:hAnsi="Arial" w:eastAsia="黑体" w:cs="Arial"/>
                <w:sz w:val="24"/>
              </w:rPr>
            </w:pPr>
          </w:p>
        </w:tc>
        <w:tc>
          <w:tcPr>
            <w:tcW w:w="1552" w:type="dxa"/>
            <w:gridSpan w:val="2"/>
            <w:vMerge w:val="continue"/>
            <w:vAlign w:val="center"/>
          </w:tcPr>
          <w:p>
            <w:pPr>
              <w:ind w:right="338" w:rightChars="161"/>
              <w:jc w:val="center"/>
              <w:rPr>
                <w:rFonts w:ascii="Arial" w:hAnsi="Arial" w:eastAsia="黑体" w:cs="Arial"/>
                <w:sz w:val="24"/>
              </w:rPr>
            </w:pPr>
          </w:p>
        </w:tc>
        <w:tc>
          <w:tcPr>
            <w:tcW w:w="1458" w:type="dxa"/>
            <w:vAlign w:val="center"/>
          </w:tcPr>
          <w:p>
            <w:pPr>
              <w:ind w:right="338" w:rightChars="161"/>
              <w:jc w:val="center"/>
              <w:rPr>
                <w:rFonts w:ascii="Arial" w:hAnsi="Arial" w:eastAsia="黑体" w:cs="Arial"/>
                <w:sz w:val="24"/>
              </w:rPr>
            </w:pPr>
            <w:r>
              <w:rPr>
                <w:rFonts w:ascii="Arial" w:hAnsi="Arial" w:eastAsia="黑体" w:cs="Arial"/>
                <w:sz w:val="24"/>
              </w:rPr>
              <w:t>银行贷款</w:t>
            </w:r>
          </w:p>
        </w:tc>
        <w:tc>
          <w:tcPr>
            <w:tcW w:w="1972" w:type="dxa"/>
            <w:vAlign w:val="center"/>
          </w:tcPr>
          <w:p>
            <w:pPr>
              <w:ind w:right="338" w:rightChars="161" w:firstLine="960" w:firstLineChars="400"/>
              <w:rPr>
                <w:rFonts w:ascii="Arial" w:hAnsi="Arial" w:eastAsia="黑体" w:cs="Arial"/>
                <w:sz w:val="24"/>
              </w:rPr>
            </w:pPr>
            <w:r>
              <w:rPr>
                <w:rFonts w:ascii="Arial" w:hAnsi="Arial" w:eastAsia="黑体" w:cs="Arial"/>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ascii="Arial" w:hAnsi="Arial" w:eastAsia="黑体" w:cs="Arial"/>
                <w:sz w:val="24"/>
              </w:rPr>
              <w:t>固定资产</w:t>
            </w:r>
          </w:p>
        </w:tc>
        <w:tc>
          <w:tcPr>
            <w:tcW w:w="1812" w:type="dxa"/>
            <w:gridSpan w:val="3"/>
            <w:vAlign w:val="center"/>
          </w:tcPr>
          <w:p>
            <w:pPr>
              <w:snapToGrid w:val="0"/>
              <w:ind w:right="338" w:rightChars="161"/>
              <w:jc w:val="center"/>
              <w:rPr>
                <w:rFonts w:ascii="Arial" w:hAnsi="Arial" w:eastAsia="黑体" w:cs="Arial"/>
                <w:sz w:val="24"/>
              </w:rPr>
            </w:pPr>
            <w:r>
              <w:rPr>
                <w:rFonts w:ascii="Arial" w:hAnsi="Arial" w:eastAsia="黑体" w:cs="Arial"/>
                <w:sz w:val="24"/>
              </w:rPr>
              <w:t>原值</w:t>
            </w:r>
          </w:p>
        </w:tc>
        <w:tc>
          <w:tcPr>
            <w:tcW w:w="1552" w:type="dxa"/>
            <w:gridSpan w:val="2"/>
            <w:vAlign w:val="center"/>
          </w:tcPr>
          <w:p>
            <w:pPr>
              <w:ind w:right="338" w:rightChars="161" w:firstLine="720" w:firstLineChars="300"/>
              <w:jc w:val="right"/>
              <w:rPr>
                <w:rFonts w:ascii="Arial" w:hAnsi="Arial" w:eastAsia="黑体" w:cs="Arial"/>
                <w:sz w:val="24"/>
              </w:rPr>
            </w:pPr>
            <w:r>
              <w:rPr>
                <w:rFonts w:ascii="Arial" w:hAnsi="Arial" w:eastAsia="黑体" w:cs="Arial"/>
                <w:sz w:val="24"/>
              </w:rPr>
              <w:t>万元</w:t>
            </w:r>
          </w:p>
        </w:tc>
        <w:tc>
          <w:tcPr>
            <w:tcW w:w="1458" w:type="dxa"/>
            <w:vAlign w:val="center"/>
          </w:tcPr>
          <w:p>
            <w:pPr>
              <w:ind w:right="338" w:rightChars="161"/>
              <w:rPr>
                <w:rFonts w:ascii="Arial" w:hAnsi="Arial" w:eastAsia="黑体" w:cs="Arial"/>
                <w:sz w:val="24"/>
              </w:rPr>
            </w:pPr>
            <w:r>
              <w:rPr>
                <w:rFonts w:ascii="Arial" w:hAnsi="Arial" w:eastAsia="黑体" w:cs="Arial"/>
                <w:sz w:val="24"/>
              </w:rPr>
              <w:t>净值</w:t>
            </w:r>
          </w:p>
        </w:tc>
        <w:tc>
          <w:tcPr>
            <w:tcW w:w="1972" w:type="dxa"/>
            <w:vAlign w:val="center"/>
          </w:tcPr>
          <w:p>
            <w:pPr>
              <w:ind w:right="338" w:rightChars="161" w:firstLine="960" w:firstLineChars="400"/>
              <w:rPr>
                <w:rFonts w:ascii="Arial" w:hAnsi="Arial" w:eastAsia="黑体" w:cs="Arial"/>
                <w:sz w:val="24"/>
              </w:rPr>
            </w:pPr>
            <w:r>
              <w:rPr>
                <w:rFonts w:ascii="Arial" w:hAnsi="Arial" w:eastAsia="黑体" w:cs="Arial"/>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ind w:right="338" w:rightChars="161"/>
              <w:jc w:val="center"/>
              <w:rPr>
                <w:rFonts w:ascii="Arial" w:hAnsi="Arial" w:eastAsia="黑体" w:cs="Arial"/>
                <w:sz w:val="24"/>
              </w:rPr>
            </w:pPr>
            <w:r>
              <w:rPr>
                <w:rFonts w:ascii="Arial" w:hAnsi="Arial" w:eastAsia="黑体" w:cs="Arial"/>
                <w:sz w:val="24"/>
              </w:rPr>
              <w:t>企业财务状况</w:t>
            </w:r>
          </w:p>
        </w:tc>
        <w:tc>
          <w:tcPr>
            <w:tcW w:w="1304" w:type="dxa"/>
            <w:vAlign w:val="center"/>
          </w:tcPr>
          <w:p>
            <w:pPr>
              <w:snapToGrid w:val="0"/>
              <w:ind w:right="338" w:rightChars="161"/>
              <w:rPr>
                <w:rFonts w:ascii="Arial" w:hAnsi="Arial" w:eastAsia="黑体" w:cs="Arial"/>
                <w:sz w:val="24"/>
              </w:rPr>
            </w:pPr>
          </w:p>
        </w:tc>
        <w:tc>
          <w:tcPr>
            <w:tcW w:w="1812" w:type="dxa"/>
            <w:gridSpan w:val="3"/>
            <w:vAlign w:val="center"/>
          </w:tcPr>
          <w:p>
            <w:pPr>
              <w:snapToGrid w:val="0"/>
              <w:ind w:right="338" w:rightChars="161"/>
              <w:jc w:val="center"/>
              <w:rPr>
                <w:rFonts w:ascii="Arial" w:hAnsi="Arial" w:eastAsia="黑体" w:cs="Arial"/>
                <w:sz w:val="24"/>
              </w:rPr>
            </w:pPr>
            <w:r>
              <w:rPr>
                <w:rFonts w:ascii="Arial" w:hAnsi="Arial" w:eastAsia="黑体" w:cs="Arial"/>
                <w:sz w:val="24"/>
              </w:rPr>
              <w:t>收入总额</w:t>
            </w:r>
          </w:p>
        </w:tc>
        <w:tc>
          <w:tcPr>
            <w:tcW w:w="1552" w:type="dxa"/>
            <w:gridSpan w:val="2"/>
            <w:vAlign w:val="center"/>
          </w:tcPr>
          <w:p>
            <w:pPr>
              <w:ind w:right="338" w:rightChars="161"/>
              <w:jc w:val="center"/>
              <w:rPr>
                <w:rFonts w:ascii="Arial" w:hAnsi="Arial" w:eastAsia="黑体" w:cs="Arial"/>
                <w:sz w:val="24"/>
              </w:rPr>
            </w:pPr>
            <w:r>
              <w:rPr>
                <w:rFonts w:ascii="Arial" w:hAnsi="Arial" w:eastAsia="黑体" w:cs="Arial"/>
                <w:sz w:val="24"/>
              </w:rPr>
              <w:t>利润总额</w:t>
            </w:r>
          </w:p>
        </w:tc>
        <w:tc>
          <w:tcPr>
            <w:tcW w:w="1458" w:type="dxa"/>
            <w:vAlign w:val="center"/>
          </w:tcPr>
          <w:p>
            <w:pPr>
              <w:ind w:right="338" w:rightChars="161"/>
              <w:jc w:val="center"/>
              <w:rPr>
                <w:rFonts w:ascii="Arial" w:hAnsi="Arial" w:eastAsia="黑体" w:cs="Arial"/>
                <w:sz w:val="24"/>
              </w:rPr>
            </w:pPr>
            <w:r>
              <w:rPr>
                <w:rFonts w:ascii="Arial" w:hAnsi="Arial" w:eastAsia="黑体" w:cs="Arial"/>
                <w:sz w:val="24"/>
              </w:rPr>
              <w:t>税后利润</w:t>
            </w:r>
          </w:p>
        </w:tc>
        <w:tc>
          <w:tcPr>
            <w:tcW w:w="1972" w:type="dxa"/>
            <w:vAlign w:val="center"/>
          </w:tcPr>
          <w:p>
            <w:pPr>
              <w:ind w:right="338" w:rightChars="161"/>
              <w:jc w:val="center"/>
              <w:rPr>
                <w:rFonts w:ascii="Arial" w:hAnsi="Arial" w:eastAsia="黑体" w:cs="Arial"/>
                <w:sz w:val="24"/>
              </w:rPr>
            </w:pPr>
            <w:r>
              <w:rPr>
                <w:rFonts w:ascii="Arial" w:hAnsi="Arial" w:eastAsia="黑体" w:cs="Arial"/>
                <w:sz w:val="24"/>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ascii="Arial" w:hAnsi="Arial" w:eastAsia="黑体" w:cs="Arial"/>
                <w:sz w:val="24"/>
              </w:rPr>
              <w:t>2018</w:t>
            </w:r>
          </w:p>
        </w:tc>
        <w:tc>
          <w:tcPr>
            <w:tcW w:w="1812" w:type="dxa"/>
            <w:gridSpan w:val="3"/>
            <w:vAlign w:val="center"/>
          </w:tcPr>
          <w:p>
            <w:pPr>
              <w:snapToGrid w:val="0"/>
              <w:ind w:right="338" w:rightChars="161"/>
              <w:rPr>
                <w:rFonts w:ascii="Arial" w:hAnsi="Arial" w:eastAsia="黑体" w:cs="Arial"/>
                <w:sz w:val="24"/>
              </w:rPr>
            </w:pPr>
          </w:p>
        </w:tc>
        <w:tc>
          <w:tcPr>
            <w:tcW w:w="1552" w:type="dxa"/>
            <w:gridSpan w:val="2"/>
            <w:vAlign w:val="center"/>
          </w:tcPr>
          <w:p>
            <w:pPr>
              <w:ind w:right="338" w:rightChars="161"/>
              <w:rPr>
                <w:rFonts w:ascii="Arial" w:hAnsi="Arial" w:eastAsia="黑体" w:cs="Arial"/>
                <w:sz w:val="24"/>
              </w:rPr>
            </w:pPr>
          </w:p>
        </w:tc>
        <w:tc>
          <w:tcPr>
            <w:tcW w:w="1458" w:type="dxa"/>
            <w:vAlign w:val="center"/>
          </w:tcPr>
          <w:p>
            <w:pPr>
              <w:ind w:right="338" w:rightChars="161"/>
              <w:rPr>
                <w:rFonts w:ascii="Arial" w:hAnsi="Arial" w:eastAsia="黑体" w:cs="Arial"/>
                <w:sz w:val="24"/>
              </w:rPr>
            </w:pPr>
          </w:p>
        </w:tc>
        <w:tc>
          <w:tcPr>
            <w:tcW w:w="1972" w:type="dxa"/>
            <w:vAlign w:val="center"/>
          </w:tcPr>
          <w:p>
            <w:pPr>
              <w:ind w:right="338" w:rightChars="161"/>
              <w:rPr>
                <w:rFonts w:ascii="Arial" w:hAnsi="Arial" w:eastAsia="黑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ascii="Arial" w:hAnsi="Arial" w:eastAsia="黑体" w:cs="Arial"/>
                <w:sz w:val="24"/>
              </w:rPr>
              <w:t>2019</w:t>
            </w:r>
          </w:p>
        </w:tc>
        <w:tc>
          <w:tcPr>
            <w:tcW w:w="1812" w:type="dxa"/>
            <w:gridSpan w:val="3"/>
            <w:vAlign w:val="center"/>
          </w:tcPr>
          <w:p>
            <w:pPr>
              <w:snapToGrid w:val="0"/>
              <w:ind w:right="338" w:rightChars="161"/>
              <w:rPr>
                <w:rFonts w:ascii="Arial" w:hAnsi="Arial" w:eastAsia="黑体" w:cs="Arial"/>
                <w:sz w:val="24"/>
              </w:rPr>
            </w:pPr>
          </w:p>
        </w:tc>
        <w:tc>
          <w:tcPr>
            <w:tcW w:w="1552" w:type="dxa"/>
            <w:gridSpan w:val="2"/>
            <w:vAlign w:val="center"/>
          </w:tcPr>
          <w:p>
            <w:pPr>
              <w:ind w:right="338" w:rightChars="161"/>
              <w:rPr>
                <w:rFonts w:ascii="Arial" w:hAnsi="Arial" w:eastAsia="黑体" w:cs="Arial"/>
                <w:sz w:val="24"/>
              </w:rPr>
            </w:pPr>
          </w:p>
        </w:tc>
        <w:tc>
          <w:tcPr>
            <w:tcW w:w="1458" w:type="dxa"/>
            <w:vAlign w:val="center"/>
          </w:tcPr>
          <w:p>
            <w:pPr>
              <w:ind w:right="338" w:rightChars="161"/>
              <w:rPr>
                <w:rFonts w:ascii="Arial" w:hAnsi="Arial" w:eastAsia="黑体" w:cs="Arial"/>
                <w:sz w:val="24"/>
              </w:rPr>
            </w:pPr>
          </w:p>
        </w:tc>
        <w:tc>
          <w:tcPr>
            <w:tcW w:w="1972" w:type="dxa"/>
            <w:vAlign w:val="center"/>
          </w:tcPr>
          <w:p>
            <w:pPr>
              <w:ind w:right="338" w:rightChars="161"/>
              <w:rPr>
                <w:rFonts w:ascii="Arial" w:hAnsi="Arial" w:eastAsia="黑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ind w:right="338" w:rightChars="161"/>
              <w:jc w:val="center"/>
              <w:rPr>
                <w:rFonts w:ascii="Arial" w:hAnsi="Arial" w:eastAsia="黑体" w:cs="Arial"/>
                <w:sz w:val="24"/>
              </w:rPr>
            </w:pPr>
          </w:p>
        </w:tc>
        <w:tc>
          <w:tcPr>
            <w:tcW w:w="1304" w:type="dxa"/>
            <w:vAlign w:val="center"/>
          </w:tcPr>
          <w:p>
            <w:pPr>
              <w:snapToGrid w:val="0"/>
              <w:ind w:right="338" w:rightChars="161"/>
              <w:jc w:val="center"/>
              <w:rPr>
                <w:rFonts w:ascii="Arial" w:hAnsi="Arial" w:eastAsia="黑体" w:cs="Arial"/>
                <w:sz w:val="24"/>
              </w:rPr>
            </w:pPr>
            <w:r>
              <w:rPr>
                <w:rFonts w:hint="eastAsia" w:ascii="Arial" w:hAnsi="Arial" w:eastAsia="黑体" w:cs="Arial"/>
                <w:sz w:val="24"/>
              </w:rPr>
              <w:t>2</w:t>
            </w:r>
            <w:r>
              <w:rPr>
                <w:rFonts w:ascii="Arial" w:hAnsi="Arial" w:eastAsia="黑体" w:cs="Arial"/>
                <w:sz w:val="24"/>
              </w:rPr>
              <w:t>020</w:t>
            </w:r>
          </w:p>
        </w:tc>
        <w:tc>
          <w:tcPr>
            <w:tcW w:w="1812" w:type="dxa"/>
            <w:gridSpan w:val="3"/>
            <w:vAlign w:val="center"/>
          </w:tcPr>
          <w:p>
            <w:pPr>
              <w:snapToGrid w:val="0"/>
              <w:ind w:right="338" w:rightChars="161"/>
              <w:rPr>
                <w:rFonts w:ascii="Arial" w:hAnsi="Arial" w:eastAsia="黑体" w:cs="Arial"/>
                <w:sz w:val="24"/>
              </w:rPr>
            </w:pPr>
          </w:p>
        </w:tc>
        <w:tc>
          <w:tcPr>
            <w:tcW w:w="1552" w:type="dxa"/>
            <w:gridSpan w:val="2"/>
            <w:vAlign w:val="center"/>
          </w:tcPr>
          <w:p>
            <w:pPr>
              <w:ind w:right="338" w:rightChars="161"/>
              <w:rPr>
                <w:rFonts w:ascii="Arial" w:hAnsi="Arial" w:eastAsia="黑体" w:cs="Arial"/>
                <w:sz w:val="24"/>
              </w:rPr>
            </w:pPr>
          </w:p>
        </w:tc>
        <w:tc>
          <w:tcPr>
            <w:tcW w:w="1458" w:type="dxa"/>
            <w:vAlign w:val="center"/>
          </w:tcPr>
          <w:p>
            <w:pPr>
              <w:ind w:right="338" w:rightChars="161"/>
              <w:rPr>
                <w:rFonts w:ascii="Arial" w:hAnsi="Arial" w:eastAsia="黑体" w:cs="Arial"/>
                <w:sz w:val="24"/>
              </w:rPr>
            </w:pPr>
          </w:p>
        </w:tc>
        <w:tc>
          <w:tcPr>
            <w:tcW w:w="1972" w:type="dxa"/>
            <w:vAlign w:val="center"/>
          </w:tcPr>
          <w:p>
            <w:pPr>
              <w:ind w:right="338" w:rightChars="161"/>
              <w:rPr>
                <w:rFonts w:ascii="Arial" w:hAnsi="Arial" w:eastAsia="黑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4" w:type="dxa"/>
            <w:gridSpan w:val="2"/>
            <w:vAlign w:val="center"/>
          </w:tcPr>
          <w:p>
            <w:pPr>
              <w:ind w:right="338" w:rightChars="161"/>
              <w:jc w:val="center"/>
              <w:rPr>
                <w:rFonts w:ascii="Arial" w:hAnsi="Arial" w:eastAsia="黑体" w:cs="Arial"/>
                <w:sz w:val="24"/>
              </w:rPr>
            </w:pPr>
            <w:r>
              <w:rPr>
                <w:rFonts w:ascii="Arial" w:hAnsi="Arial" w:eastAsia="黑体" w:cs="Arial"/>
                <w:sz w:val="24"/>
              </w:rPr>
              <w:t>北京办公地点</w:t>
            </w:r>
          </w:p>
        </w:tc>
        <w:tc>
          <w:tcPr>
            <w:tcW w:w="6794" w:type="dxa"/>
            <w:gridSpan w:val="7"/>
            <w:vAlign w:val="center"/>
          </w:tcPr>
          <w:p>
            <w:pPr>
              <w:ind w:right="338" w:rightChars="161"/>
              <w:rPr>
                <w:rFonts w:ascii="Arial" w:hAnsi="Arial" w:eastAsia="黑体" w:cs="Arial"/>
                <w:sz w:val="24"/>
              </w:rPr>
            </w:pPr>
          </w:p>
        </w:tc>
      </w:tr>
    </w:tbl>
    <w:p>
      <w:pPr>
        <w:spacing w:line="360" w:lineRule="auto"/>
        <w:ind w:right="338" w:rightChars="161"/>
        <w:jc w:val="left"/>
        <w:rPr>
          <w:rFonts w:ascii="Arial" w:hAnsi="Arial" w:cs="Arial"/>
          <w:sz w:val="24"/>
        </w:rPr>
      </w:pPr>
      <w:r>
        <w:rPr>
          <w:rFonts w:ascii="Arial" w:hAnsi="Arial" w:cs="Arial"/>
          <w:sz w:val="24"/>
        </w:rPr>
        <w:t>供应商可根据情况自行调整表格内容。</w:t>
      </w:r>
    </w:p>
    <w:p>
      <w:pPr>
        <w:spacing w:line="360" w:lineRule="auto"/>
        <w:ind w:right="338" w:rightChars="161"/>
        <w:jc w:val="left"/>
        <w:rPr>
          <w:rFonts w:ascii="Arial" w:hAnsi="Arial" w:eastAsia="黑体" w:cs="Arial"/>
          <w:sz w:val="30"/>
          <w:szCs w:val="30"/>
        </w:rPr>
      </w:pP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公章</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签字</w:t>
      </w:r>
    </w:p>
    <w:p>
      <w:pPr>
        <w:pStyle w:val="148"/>
        <w:adjustRightInd/>
        <w:snapToGrid/>
        <w:spacing w:after="0"/>
        <w:ind w:right="338" w:rightChars="161"/>
        <w:rPr>
          <w:rFonts w:ascii="Arial" w:hAnsi="Arial" w:cs="Arial"/>
          <w:u w:val="single"/>
        </w:rPr>
      </w:pPr>
      <w:r>
        <w:rPr>
          <w:rFonts w:ascii="Arial" w:hAnsi="Arial" w:cs="Arial"/>
        </w:rPr>
        <w:t>日期：</w:t>
      </w:r>
    </w:p>
    <w:p>
      <w:pPr>
        <w:spacing w:line="360" w:lineRule="auto"/>
        <w:ind w:right="338" w:rightChars="161"/>
        <w:jc w:val="left"/>
        <w:rPr>
          <w:rFonts w:ascii="Arial" w:hAnsi="Arial" w:eastAsia="黑体" w:cs="Arial"/>
          <w:sz w:val="30"/>
          <w:szCs w:val="30"/>
        </w:rPr>
      </w:pPr>
    </w:p>
    <w:p>
      <w:pPr>
        <w:spacing w:line="360" w:lineRule="auto"/>
        <w:ind w:right="338" w:rightChars="161"/>
        <w:jc w:val="center"/>
        <w:rPr>
          <w:rFonts w:ascii="Arial" w:hAnsi="Arial" w:eastAsia="黑体" w:cs="Arial"/>
          <w:sz w:val="30"/>
          <w:szCs w:val="30"/>
        </w:rPr>
        <w:sectPr>
          <w:pgSz w:w="11906" w:h="16838"/>
          <w:pgMar w:top="1247" w:right="1247" w:bottom="1247" w:left="1247" w:header="851" w:footer="992" w:gutter="0"/>
          <w:cols w:space="720" w:num="1"/>
          <w:titlePg/>
          <w:docGrid w:linePitch="312" w:charSpace="0"/>
        </w:sectPr>
      </w:pPr>
    </w:p>
    <w:p>
      <w:pPr>
        <w:pStyle w:val="178"/>
        <w:ind w:right="338" w:rightChars="161" w:firstLine="618"/>
        <w:jc w:val="center"/>
        <w:rPr>
          <w:b/>
          <w:bCs/>
        </w:rPr>
      </w:pPr>
      <w:bookmarkStart w:id="781" w:name="_Toc378679685"/>
      <w:bookmarkStart w:id="782" w:name="_Toc481468389"/>
      <w:bookmarkStart w:id="783" w:name="_Toc27475567"/>
      <w:r>
        <w:rPr>
          <w:b/>
          <w:bCs/>
        </w:rPr>
        <w:t xml:space="preserve">附件9-1 </w:t>
      </w:r>
      <w:bookmarkEnd w:id="781"/>
      <w:bookmarkEnd w:id="782"/>
      <w:bookmarkEnd w:id="783"/>
      <w:r>
        <w:rPr>
          <w:rFonts w:hint="eastAsia"/>
          <w:b/>
          <w:bCs/>
        </w:rPr>
        <w:t>服务团队人员列表</w:t>
      </w:r>
    </w:p>
    <w:p>
      <w:pPr>
        <w:ind w:right="338" w:rightChars="161" w:firstLine="643"/>
        <w:jc w:val="center"/>
        <w:rPr>
          <w:rFonts w:ascii="Arial" w:hAnsi="Arial" w:cs="Arial"/>
          <w:b/>
          <w:sz w:val="32"/>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21"/>
        <w:gridCol w:w="536"/>
        <w:gridCol w:w="420"/>
        <w:gridCol w:w="720"/>
        <w:gridCol w:w="1005"/>
        <w:gridCol w:w="382"/>
        <w:gridCol w:w="792"/>
        <w:gridCol w:w="1368"/>
        <w:gridCol w:w="86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73" w:type="dxa"/>
            <w:gridSpan w:val="3"/>
            <w:vAlign w:val="center"/>
          </w:tcPr>
          <w:p>
            <w:pPr>
              <w:ind w:right="338" w:rightChars="161"/>
              <w:rPr>
                <w:rFonts w:ascii="宋体" w:hAnsi="宋体"/>
              </w:rPr>
            </w:pPr>
            <w:r>
              <w:rPr>
                <w:rFonts w:hint="eastAsia" w:ascii="宋体" w:hAnsi="宋体"/>
              </w:rPr>
              <w:t>公司总人数</w:t>
            </w:r>
          </w:p>
        </w:tc>
        <w:tc>
          <w:tcPr>
            <w:tcW w:w="2527" w:type="dxa"/>
            <w:gridSpan w:val="4"/>
            <w:vAlign w:val="center"/>
          </w:tcPr>
          <w:p>
            <w:pPr>
              <w:ind w:right="338" w:rightChars="161"/>
              <w:rPr>
                <w:rFonts w:ascii="宋体" w:hAnsi="宋体"/>
              </w:rPr>
            </w:pPr>
          </w:p>
        </w:tc>
        <w:tc>
          <w:tcPr>
            <w:tcW w:w="2160" w:type="dxa"/>
            <w:gridSpan w:val="2"/>
            <w:vAlign w:val="center"/>
          </w:tcPr>
          <w:p>
            <w:pPr>
              <w:ind w:right="338" w:rightChars="161"/>
              <w:rPr>
                <w:rFonts w:ascii="宋体" w:hAnsi="宋体"/>
              </w:rPr>
            </w:pPr>
            <w:r>
              <w:rPr>
                <w:rFonts w:hint="eastAsia" w:ascii="宋体" w:hAnsi="宋体"/>
              </w:rPr>
              <w:t>管理人员数量</w:t>
            </w:r>
          </w:p>
        </w:tc>
        <w:tc>
          <w:tcPr>
            <w:tcW w:w="3277" w:type="dxa"/>
            <w:gridSpan w:val="2"/>
            <w:vAlign w:val="center"/>
          </w:tcPr>
          <w:p>
            <w:pPr>
              <w:ind w:left="1" w:right="338" w:rightChars="16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73" w:type="dxa"/>
            <w:gridSpan w:val="3"/>
            <w:vAlign w:val="center"/>
          </w:tcPr>
          <w:p>
            <w:pPr>
              <w:ind w:right="338" w:rightChars="161"/>
              <w:rPr>
                <w:rFonts w:ascii="宋体" w:hAnsi="宋体"/>
              </w:rPr>
            </w:pPr>
            <w:r>
              <w:rPr>
                <w:rFonts w:hint="eastAsia" w:ascii="宋体" w:hAnsi="宋体"/>
              </w:rPr>
              <w:t>专业人员数量</w:t>
            </w:r>
          </w:p>
        </w:tc>
        <w:tc>
          <w:tcPr>
            <w:tcW w:w="2527" w:type="dxa"/>
            <w:gridSpan w:val="4"/>
            <w:vAlign w:val="center"/>
          </w:tcPr>
          <w:p>
            <w:pPr>
              <w:pStyle w:val="150"/>
              <w:spacing w:before="0"/>
              <w:ind w:right="338" w:rightChars="161"/>
              <w:rPr>
                <w:rFonts w:ascii="宋体" w:hAnsi="宋体"/>
              </w:rPr>
            </w:pPr>
            <w:r>
              <w:rPr>
                <w:rFonts w:hint="eastAsia" w:ascii="宋体" w:hAnsi="宋体"/>
              </w:rPr>
              <w:t xml:space="preserve"> </w:t>
            </w:r>
          </w:p>
        </w:tc>
        <w:tc>
          <w:tcPr>
            <w:tcW w:w="2160" w:type="dxa"/>
            <w:gridSpan w:val="2"/>
            <w:vAlign w:val="center"/>
          </w:tcPr>
          <w:p>
            <w:pPr>
              <w:ind w:right="338" w:rightChars="161"/>
              <w:rPr>
                <w:rFonts w:ascii="宋体" w:hAnsi="宋体"/>
              </w:rPr>
            </w:pPr>
            <w:r>
              <w:rPr>
                <w:rFonts w:hint="eastAsia" w:ascii="宋体" w:hAnsi="宋体"/>
              </w:rPr>
              <w:t>本项目专业人员数量</w:t>
            </w:r>
          </w:p>
        </w:tc>
        <w:tc>
          <w:tcPr>
            <w:tcW w:w="3277" w:type="dxa"/>
            <w:gridSpan w:val="2"/>
            <w:vAlign w:val="center"/>
          </w:tcPr>
          <w:p>
            <w:pPr>
              <w:ind w:left="1" w:right="338" w:rightChars="16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9937" w:type="dxa"/>
            <w:gridSpan w:val="11"/>
          </w:tcPr>
          <w:p>
            <w:pPr>
              <w:ind w:right="338" w:rightChars="161"/>
              <w:rPr>
                <w:rFonts w:ascii="宋体" w:hAnsi="宋体"/>
                <w:b/>
              </w:rPr>
            </w:pPr>
            <w:r>
              <w:rPr>
                <w:rFonts w:hint="eastAsia" w:ascii="宋体" w:hAnsi="宋体"/>
                <w:b/>
              </w:rPr>
              <w:t>①拟用于本项目的核心领导小组成员：（附个人工作简历）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16" w:type="dxa"/>
            <w:vAlign w:val="center"/>
          </w:tcPr>
          <w:p>
            <w:pPr>
              <w:ind w:right="338" w:rightChars="161"/>
              <w:jc w:val="center"/>
              <w:rPr>
                <w:rFonts w:ascii="宋体" w:hAnsi="宋体"/>
              </w:rPr>
            </w:pPr>
            <w:r>
              <w:rPr>
                <w:rFonts w:hint="eastAsia" w:ascii="宋体" w:hAnsi="宋体"/>
              </w:rPr>
              <w:t>序号</w:t>
            </w:r>
          </w:p>
        </w:tc>
        <w:tc>
          <w:tcPr>
            <w:tcW w:w="721" w:type="dxa"/>
            <w:vAlign w:val="center"/>
          </w:tcPr>
          <w:p>
            <w:pPr>
              <w:ind w:right="338" w:rightChars="161"/>
              <w:jc w:val="center"/>
              <w:rPr>
                <w:rFonts w:ascii="宋体" w:hAnsi="宋体"/>
              </w:rPr>
            </w:pPr>
            <w:r>
              <w:rPr>
                <w:rFonts w:hint="eastAsia" w:ascii="宋体" w:hAnsi="宋体"/>
              </w:rPr>
              <w:t>姓名</w:t>
            </w:r>
          </w:p>
        </w:tc>
        <w:tc>
          <w:tcPr>
            <w:tcW w:w="956" w:type="dxa"/>
            <w:gridSpan w:val="2"/>
            <w:vAlign w:val="center"/>
          </w:tcPr>
          <w:p>
            <w:pPr>
              <w:ind w:right="338" w:rightChars="161"/>
              <w:jc w:val="center"/>
              <w:rPr>
                <w:rFonts w:ascii="宋体" w:hAnsi="宋体"/>
              </w:rPr>
            </w:pPr>
            <w:r>
              <w:rPr>
                <w:rFonts w:hint="eastAsia" w:ascii="宋体" w:hAnsi="宋体"/>
              </w:rPr>
              <w:t>职位</w:t>
            </w:r>
          </w:p>
        </w:tc>
        <w:tc>
          <w:tcPr>
            <w:tcW w:w="720" w:type="dxa"/>
            <w:vAlign w:val="center"/>
          </w:tcPr>
          <w:p>
            <w:pPr>
              <w:ind w:right="338" w:rightChars="161"/>
              <w:jc w:val="left"/>
              <w:rPr>
                <w:rFonts w:ascii="宋体" w:hAnsi="宋体"/>
              </w:rPr>
            </w:pPr>
            <w:r>
              <w:rPr>
                <w:rFonts w:hint="eastAsia" w:ascii="宋体" w:hAnsi="宋体"/>
              </w:rPr>
              <w:t>学历</w:t>
            </w:r>
          </w:p>
        </w:tc>
        <w:tc>
          <w:tcPr>
            <w:tcW w:w="1005" w:type="dxa"/>
            <w:vAlign w:val="center"/>
          </w:tcPr>
          <w:p>
            <w:pPr>
              <w:ind w:right="338" w:rightChars="161"/>
              <w:jc w:val="center"/>
              <w:rPr>
                <w:rFonts w:ascii="宋体" w:hAnsi="宋体"/>
              </w:rPr>
            </w:pPr>
            <w:r>
              <w:rPr>
                <w:rFonts w:hint="eastAsia" w:ascii="宋体" w:hAnsi="宋体"/>
              </w:rPr>
              <w:t>从业工作年限</w:t>
            </w:r>
          </w:p>
        </w:tc>
        <w:tc>
          <w:tcPr>
            <w:tcW w:w="1174" w:type="dxa"/>
            <w:gridSpan w:val="2"/>
            <w:vAlign w:val="center"/>
          </w:tcPr>
          <w:p>
            <w:pPr>
              <w:ind w:right="338" w:rightChars="161"/>
              <w:jc w:val="center"/>
              <w:rPr>
                <w:rFonts w:ascii="宋体" w:hAnsi="宋体"/>
                <w:bCs/>
              </w:rPr>
            </w:pPr>
            <w:r>
              <w:rPr>
                <w:rFonts w:hint="eastAsia" w:ascii="宋体" w:hAnsi="宋体"/>
                <w:bCs/>
              </w:rPr>
              <w:t>XX领域工作年限</w:t>
            </w:r>
          </w:p>
        </w:tc>
        <w:tc>
          <w:tcPr>
            <w:tcW w:w="2228" w:type="dxa"/>
            <w:gridSpan w:val="2"/>
            <w:vAlign w:val="center"/>
          </w:tcPr>
          <w:p>
            <w:pPr>
              <w:ind w:right="338" w:rightChars="161"/>
              <w:jc w:val="center"/>
              <w:rPr>
                <w:rFonts w:ascii="宋体" w:hAnsi="宋体"/>
                <w:bCs/>
              </w:rPr>
            </w:pPr>
            <w:r>
              <w:rPr>
                <w:rFonts w:hint="eastAsia" w:ascii="宋体" w:hAnsi="宋体"/>
                <w:szCs w:val="32"/>
              </w:rPr>
              <w:t>XX特定项目工作业绩</w:t>
            </w:r>
          </w:p>
        </w:tc>
        <w:tc>
          <w:tcPr>
            <w:tcW w:w="2417" w:type="dxa"/>
            <w:vAlign w:val="center"/>
          </w:tcPr>
          <w:p>
            <w:pPr>
              <w:ind w:right="338" w:rightChars="161"/>
              <w:jc w:val="center"/>
              <w:rPr>
                <w:rFonts w:ascii="宋体" w:hAnsi="宋体"/>
              </w:rPr>
            </w:pPr>
            <w:r>
              <w:rPr>
                <w:rFonts w:hint="eastAsia" w:ascii="宋体" w:hAnsi="宋体"/>
              </w:rPr>
              <w:t>本项目承担工作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6" w:type="dxa"/>
          </w:tcPr>
          <w:p>
            <w:pPr>
              <w:ind w:left="-111" w:leftChars="-53" w:right="338" w:rightChars="161"/>
              <w:jc w:val="center"/>
              <w:rPr>
                <w:rFonts w:ascii="宋体" w:hAnsi="宋体"/>
              </w:rPr>
            </w:pPr>
          </w:p>
        </w:tc>
        <w:tc>
          <w:tcPr>
            <w:tcW w:w="721" w:type="dxa"/>
          </w:tcPr>
          <w:p>
            <w:pPr>
              <w:ind w:left="-111" w:leftChars="-53" w:right="338" w:rightChars="161"/>
              <w:jc w:val="center"/>
              <w:rPr>
                <w:rFonts w:ascii="宋体" w:hAnsi="宋体"/>
              </w:rPr>
            </w:pPr>
          </w:p>
        </w:tc>
        <w:tc>
          <w:tcPr>
            <w:tcW w:w="956" w:type="dxa"/>
            <w:gridSpan w:val="2"/>
          </w:tcPr>
          <w:p>
            <w:pPr>
              <w:ind w:left="-111" w:leftChars="-53" w:right="338" w:rightChars="161"/>
              <w:jc w:val="center"/>
              <w:rPr>
                <w:rFonts w:ascii="宋体" w:hAnsi="宋体"/>
              </w:rPr>
            </w:pPr>
          </w:p>
        </w:tc>
        <w:tc>
          <w:tcPr>
            <w:tcW w:w="720" w:type="dxa"/>
          </w:tcPr>
          <w:p>
            <w:pPr>
              <w:ind w:left="-111" w:leftChars="-53" w:right="338" w:rightChars="161"/>
              <w:jc w:val="center"/>
              <w:rPr>
                <w:rFonts w:ascii="宋体" w:hAnsi="宋体"/>
              </w:rPr>
            </w:pPr>
          </w:p>
        </w:tc>
        <w:tc>
          <w:tcPr>
            <w:tcW w:w="1005" w:type="dxa"/>
          </w:tcPr>
          <w:p>
            <w:pPr>
              <w:ind w:left="-111" w:leftChars="-53" w:right="338" w:rightChars="161"/>
              <w:jc w:val="center"/>
              <w:rPr>
                <w:rFonts w:ascii="宋体" w:hAnsi="宋体"/>
              </w:rPr>
            </w:pPr>
          </w:p>
        </w:tc>
        <w:tc>
          <w:tcPr>
            <w:tcW w:w="1174" w:type="dxa"/>
            <w:gridSpan w:val="2"/>
          </w:tcPr>
          <w:p>
            <w:pPr>
              <w:ind w:left="1" w:right="338" w:rightChars="161"/>
              <w:rPr>
                <w:rFonts w:ascii="宋体" w:hAnsi="宋体"/>
              </w:rPr>
            </w:pPr>
          </w:p>
        </w:tc>
        <w:tc>
          <w:tcPr>
            <w:tcW w:w="2228" w:type="dxa"/>
            <w:gridSpan w:val="2"/>
          </w:tcPr>
          <w:p>
            <w:pPr>
              <w:ind w:left="1" w:right="338" w:rightChars="161"/>
              <w:rPr>
                <w:rFonts w:ascii="宋体" w:hAnsi="宋体"/>
              </w:rPr>
            </w:pPr>
          </w:p>
        </w:tc>
        <w:tc>
          <w:tcPr>
            <w:tcW w:w="2417" w:type="dxa"/>
          </w:tcPr>
          <w:p>
            <w:pPr>
              <w:ind w:left="1" w:right="338" w:rightChars="16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16" w:type="dxa"/>
          </w:tcPr>
          <w:p>
            <w:pPr>
              <w:ind w:left="-111" w:leftChars="-53" w:right="338" w:rightChars="161"/>
              <w:jc w:val="center"/>
              <w:rPr>
                <w:rFonts w:ascii="宋体" w:hAnsi="宋体"/>
              </w:rPr>
            </w:pPr>
          </w:p>
        </w:tc>
        <w:tc>
          <w:tcPr>
            <w:tcW w:w="721" w:type="dxa"/>
          </w:tcPr>
          <w:p>
            <w:pPr>
              <w:ind w:left="-111" w:leftChars="-53" w:right="338" w:rightChars="161"/>
              <w:jc w:val="center"/>
              <w:rPr>
                <w:rFonts w:ascii="宋体" w:hAnsi="宋体"/>
              </w:rPr>
            </w:pPr>
          </w:p>
        </w:tc>
        <w:tc>
          <w:tcPr>
            <w:tcW w:w="956" w:type="dxa"/>
            <w:gridSpan w:val="2"/>
          </w:tcPr>
          <w:p>
            <w:pPr>
              <w:ind w:left="-111" w:leftChars="-53" w:right="338" w:rightChars="161"/>
              <w:jc w:val="center"/>
              <w:rPr>
                <w:rFonts w:ascii="宋体" w:hAnsi="宋体"/>
              </w:rPr>
            </w:pPr>
          </w:p>
        </w:tc>
        <w:tc>
          <w:tcPr>
            <w:tcW w:w="720" w:type="dxa"/>
          </w:tcPr>
          <w:p>
            <w:pPr>
              <w:ind w:left="-111" w:leftChars="-53" w:right="338" w:rightChars="161"/>
              <w:jc w:val="center"/>
              <w:rPr>
                <w:rFonts w:ascii="宋体" w:hAnsi="宋体"/>
              </w:rPr>
            </w:pPr>
          </w:p>
        </w:tc>
        <w:tc>
          <w:tcPr>
            <w:tcW w:w="1005" w:type="dxa"/>
          </w:tcPr>
          <w:p>
            <w:pPr>
              <w:ind w:left="-111" w:leftChars="-53" w:right="338" w:rightChars="161"/>
              <w:jc w:val="center"/>
              <w:rPr>
                <w:rFonts w:ascii="宋体" w:hAnsi="宋体"/>
              </w:rPr>
            </w:pPr>
          </w:p>
        </w:tc>
        <w:tc>
          <w:tcPr>
            <w:tcW w:w="1174" w:type="dxa"/>
            <w:gridSpan w:val="2"/>
          </w:tcPr>
          <w:p>
            <w:pPr>
              <w:ind w:left="1" w:right="338" w:rightChars="161"/>
              <w:rPr>
                <w:rFonts w:ascii="宋体" w:hAnsi="宋体"/>
              </w:rPr>
            </w:pPr>
          </w:p>
        </w:tc>
        <w:tc>
          <w:tcPr>
            <w:tcW w:w="2228" w:type="dxa"/>
            <w:gridSpan w:val="2"/>
          </w:tcPr>
          <w:p>
            <w:pPr>
              <w:ind w:left="1" w:right="338" w:rightChars="161"/>
              <w:rPr>
                <w:rFonts w:ascii="宋体" w:hAnsi="宋体"/>
              </w:rPr>
            </w:pPr>
          </w:p>
        </w:tc>
        <w:tc>
          <w:tcPr>
            <w:tcW w:w="2417" w:type="dxa"/>
          </w:tcPr>
          <w:p>
            <w:pPr>
              <w:ind w:left="1" w:right="338" w:rightChars="161"/>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6" w:type="dxa"/>
          </w:tcPr>
          <w:p>
            <w:pPr>
              <w:ind w:left="-111" w:leftChars="-53" w:right="338" w:rightChars="161"/>
              <w:jc w:val="center"/>
              <w:rPr>
                <w:rFonts w:ascii="宋体" w:hAnsi="宋体"/>
              </w:rPr>
            </w:pPr>
            <w:r>
              <w:rPr>
                <w:rFonts w:hint="eastAsia" w:ascii="宋体" w:hAnsi="宋体"/>
              </w:rPr>
              <w:t>…</w:t>
            </w:r>
          </w:p>
        </w:tc>
        <w:tc>
          <w:tcPr>
            <w:tcW w:w="721" w:type="dxa"/>
          </w:tcPr>
          <w:p>
            <w:pPr>
              <w:ind w:left="-111" w:leftChars="-53" w:right="338" w:rightChars="161"/>
              <w:jc w:val="center"/>
              <w:rPr>
                <w:rFonts w:ascii="宋体" w:hAnsi="宋体"/>
              </w:rPr>
            </w:pPr>
            <w:r>
              <w:rPr>
                <w:rFonts w:hint="eastAsia" w:ascii="宋体" w:hAnsi="宋体"/>
              </w:rPr>
              <w:t>…</w:t>
            </w:r>
          </w:p>
        </w:tc>
        <w:tc>
          <w:tcPr>
            <w:tcW w:w="956" w:type="dxa"/>
            <w:gridSpan w:val="2"/>
          </w:tcPr>
          <w:p>
            <w:pPr>
              <w:ind w:left="-111" w:leftChars="-53" w:right="338" w:rightChars="161"/>
              <w:jc w:val="center"/>
            </w:pPr>
            <w:r>
              <w:rPr>
                <w:rFonts w:hint="eastAsia" w:ascii="宋体" w:hAnsi="宋体"/>
              </w:rPr>
              <w:t>…</w:t>
            </w:r>
          </w:p>
        </w:tc>
        <w:tc>
          <w:tcPr>
            <w:tcW w:w="720" w:type="dxa"/>
          </w:tcPr>
          <w:p>
            <w:pPr>
              <w:ind w:left="-111" w:leftChars="-53" w:right="338" w:rightChars="161"/>
              <w:jc w:val="center"/>
              <w:rPr>
                <w:rFonts w:ascii="宋体" w:hAnsi="宋体"/>
              </w:rPr>
            </w:pPr>
            <w:r>
              <w:rPr>
                <w:rFonts w:hint="eastAsia" w:ascii="宋体" w:hAnsi="宋体"/>
              </w:rPr>
              <w:t>…</w:t>
            </w:r>
          </w:p>
        </w:tc>
        <w:tc>
          <w:tcPr>
            <w:tcW w:w="1005" w:type="dxa"/>
          </w:tcPr>
          <w:p>
            <w:pPr>
              <w:ind w:left="-111" w:leftChars="-53" w:right="338" w:rightChars="161"/>
              <w:jc w:val="center"/>
            </w:pPr>
            <w:r>
              <w:rPr>
                <w:rFonts w:hint="eastAsia" w:ascii="宋体" w:hAnsi="宋体"/>
              </w:rPr>
              <w:t>…</w:t>
            </w:r>
          </w:p>
        </w:tc>
        <w:tc>
          <w:tcPr>
            <w:tcW w:w="1174" w:type="dxa"/>
            <w:gridSpan w:val="2"/>
          </w:tcPr>
          <w:p>
            <w:pPr>
              <w:ind w:left="-111" w:leftChars="-53" w:right="338" w:rightChars="161"/>
              <w:jc w:val="center"/>
            </w:pPr>
            <w:r>
              <w:rPr>
                <w:rFonts w:hint="eastAsia" w:ascii="宋体" w:hAnsi="宋体"/>
              </w:rPr>
              <w:t>…</w:t>
            </w:r>
          </w:p>
        </w:tc>
        <w:tc>
          <w:tcPr>
            <w:tcW w:w="2228" w:type="dxa"/>
            <w:gridSpan w:val="2"/>
          </w:tcPr>
          <w:p>
            <w:pPr>
              <w:ind w:left="-111" w:leftChars="-53" w:right="338" w:rightChars="161"/>
              <w:jc w:val="center"/>
            </w:pPr>
            <w:r>
              <w:rPr>
                <w:rFonts w:hint="eastAsia" w:ascii="宋体" w:hAnsi="宋体"/>
              </w:rPr>
              <w:t>…</w:t>
            </w:r>
          </w:p>
        </w:tc>
        <w:tc>
          <w:tcPr>
            <w:tcW w:w="2417" w:type="dxa"/>
          </w:tcPr>
          <w:p>
            <w:pPr>
              <w:ind w:left="-111" w:leftChars="-53" w:right="338" w:rightChars="161"/>
              <w:jc w:val="cente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9937" w:type="dxa"/>
            <w:gridSpan w:val="11"/>
          </w:tcPr>
          <w:p>
            <w:pPr>
              <w:ind w:right="338" w:rightChars="161"/>
              <w:rPr>
                <w:rFonts w:ascii="宋体" w:hAnsi="宋体"/>
                <w:b/>
              </w:rPr>
            </w:pPr>
            <w:r>
              <w:rPr>
                <w:rFonts w:hint="eastAsia" w:ascii="宋体" w:hAnsi="宋体"/>
                <w:b/>
              </w:rPr>
              <w:t>②拟用于本项目的主要人员情况：（附个人工作简历）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716" w:type="dxa"/>
            <w:vAlign w:val="center"/>
          </w:tcPr>
          <w:p>
            <w:pPr>
              <w:ind w:left="-107" w:leftChars="-51" w:right="338" w:rightChars="161"/>
              <w:jc w:val="center"/>
              <w:rPr>
                <w:rFonts w:ascii="宋体" w:hAnsi="宋体"/>
              </w:rPr>
            </w:pPr>
            <w:r>
              <w:rPr>
                <w:rFonts w:hint="eastAsia" w:ascii="宋体" w:hAnsi="宋体"/>
              </w:rPr>
              <w:t>序号</w:t>
            </w:r>
          </w:p>
        </w:tc>
        <w:tc>
          <w:tcPr>
            <w:tcW w:w="721" w:type="dxa"/>
            <w:vAlign w:val="center"/>
          </w:tcPr>
          <w:p>
            <w:pPr>
              <w:ind w:left="-107" w:leftChars="-51" w:right="338" w:rightChars="161"/>
              <w:jc w:val="center"/>
              <w:rPr>
                <w:rFonts w:ascii="宋体" w:hAnsi="宋体"/>
              </w:rPr>
            </w:pPr>
            <w:r>
              <w:rPr>
                <w:rFonts w:hint="eastAsia" w:ascii="宋体" w:hAnsi="宋体"/>
              </w:rPr>
              <w:t>姓名</w:t>
            </w:r>
          </w:p>
        </w:tc>
        <w:tc>
          <w:tcPr>
            <w:tcW w:w="956" w:type="dxa"/>
            <w:gridSpan w:val="2"/>
            <w:vAlign w:val="center"/>
          </w:tcPr>
          <w:p>
            <w:pPr>
              <w:ind w:left="-107" w:leftChars="-51" w:right="338" w:rightChars="161"/>
              <w:jc w:val="center"/>
              <w:rPr>
                <w:rFonts w:ascii="宋体" w:hAnsi="宋体"/>
              </w:rPr>
            </w:pPr>
            <w:r>
              <w:rPr>
                <w:rFonts w:hint="eastAsia" w:ascii="宋体" w:hAnsi="宋体"/>
              </w:rPr>
              <w:t>职位</w:t>
            </w:r>
          </w:p>
        </w:tc>
        <w:tc>
          <w:tcPr>
            <w:tcW w:w="720" w:type="dxa"/>
            <w:vAlign w:val="center"/>
          </w:tcPr>
          <w:p>
            <w:pPr>
              <w:ind w:left="-107" w:leftChars="-51" w:right="338" w:rightChars="161"/>
              <w:jc w:val="center"/>
              <w:rPr>
                <w:rFonts w:ascii="宋体" w:hAnsi="宋体"/>
              </w:rPr>
            </w:pPr>
            <w:r>
              <w:rPr>
                <w:rFonts w:hint="eastAsia" w:ascii="宋体" w:hAnsi="宋体"/>
              </w:rPr>
              <w:t>学历</w:t>
            </w:r>
          </w:p>
        </w:tc>
        <w:tc>
          <w:tcPr>
            <w:tcW w:w="1005" w:type="dxa"/>
            <w:vAlign w:val="center"/>
          </w:tcPr>
          <w:p>
            <w:pPr>
              <w:ind w:right="338" w:rightChars="161"/>
              <w:jc w:val="center"/>
              <w:rPr>
                <w:rFonts w:ascii="宋体" w:hAnsi="宋体"/>
              </w:rPr>
            </w:pPr>
            <w:r>
              <w:rPr>
                <w:rFonts w:hint="eastAsia" w:ascii="宋体" w:hAnsi="宋体"/>
              </w:rPr>
              <w:t>从业工作年限</w:t>
            </w:r>
          </w:p>
        </w:tc>
        <w:tc>
          <w:tcPr>
            <w:tcW w:w="1174" w:type="dxa"/>
            <w:gridSpan w:val="2"/>
            <w:vAlign w:val="center"/>
          </w:tcPr>
          <w:p>
            <w:pPr>
              <w:ind w:right="338" w:rightChars="161"/>
              <w:jc w:val="center"/>
              <w:rPr>
                <w:rFonts w:ascii="宋体" w:hAnsi="宋体"/>
              </w:rPr>
            </w:pPr>
            <w:r>
              <w:rPr>
                <w:rFonts w:hint="eastAsia" w:ascii="宋体" w:hAnsi="宋体"/>
                <w:bCs/>
              </w:rPr>
              <w:t>XX领域工作年限</w:t>
            </w:r>
          </w:p>
        </w:tc>
        <w:tc>
          <w:tcPr>
            <w:tcW w:w="2228" w:type="dxa"/>
            <w:gridSpan w:val="2"/>
            <w:vAlign w:val="center"/>
          </w:tcPr>
          <w:p>
            <w:pPr>
              <w:ind w:right="338" w:rightChars="161"/>
              <w:jc w:val="center"/>
              <w:rPr>
                <w:rFonts w:ascii="宋体" w:hAnsi="宋体"/>
              </w:rPr>
            </w:pPr>
            <w:r>
              <w:rPr>
                <w:rFonts w:hint="eastAsia" w:ascii="宋体" w:hAnsi="宋体"/>
                <w:szCs w:val="32"/>
              </w:rPr>
              <w:t>XX特定项目工作业绩</w:t>
            </w:r>
          </w:p>
        </w:tc>
        <w:tc>
          <w:tcPr>
            <w:tcW w:w="2417" w:type="dxa"/>
            <w:vAlign w:val="center"/>
          </w:tcPr>
          <w:p>
            <w:pPr>
              <w:ind w:left="-107" w:leftChars="-51" w:right="338" w:rightChars="161"/>
              <w:jc w:val="center"/>
              <w:rPr>
                <w:rFonts w:ascii="宋体" w:hAnsi="宋体"/>
              </w:rPr>
            </w:pPr>
            <w:r>
              <w:rPr>
                <w:rFonts w:hint="eastAsia" w:ascii="宋体" w:hAnsi="宋体"/>
              </w:rPr>
              <w:t>本项目承担工作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716" w:type="dxa"/>
            <w:vAlign w:val="center"/>
          </w:tcPr>
          <w:p>
            <w:pPr>
              <w:ind w:left="-107" w:leftChars="-51" w:right="338" w:rightChars="161"/>
              <w:jc w:val="center"/>
              <w:rPr>
                <w:rFonts w:ascii="宋体" w:hAnsi="宋体"/>
              </w:rPr>
            </w:pPr>
          </w:p>
        </w:tc>
        <w:tc>
          <w:tcPr>
            <w:tcW w:w="721" w:type="dxa"/>
            <w:vAlign w:val="center"/>
          </w:tcPr>
          <w:p>
            <w:pPr>
              <w:ind w:left="-107" w:leftChars="-51" w:right="338" w:rightChars="161"/>
              <w:jc w:val="center"/>
              <w:rPr>
                <w:rFonts w:ascii="宋体" w:hAnsi="宋体"/>
              </w:rPr>
            </w:pPr>
          </w:p>
        </w:tc>
        <w:tc>
          <w:tcPr>
            <w:tcW w:w="956" w:type="dxa"/>
            <w:gridSpan w:val="2"/>
            <w:vAlign w:val="center"/>
          </w:tcPr>
          <w:p>
            <w:pPr>
              <w:ind w:left="-107" w:leftChars="-51" w:right="338" w:rightChars="161"/>
              <w:jc w:val="center"/>
              <w:rPr>
                <w:rFonts w:ascii="宋体" w:hAnsi="宋体"/>
              </w:rPr>
            </w:pPr>
          </w:p>
        </w:tc>
        <w:tc>
          <w:tcPr>
            <w:tcW w:w="720" w:type="dxa"/>
            <w:vAlign w:val="center"/>
          </w:tcPr>
          <w:p>
            <w:pPr>
              <w:ind w:left="-107" w:leftChars="-51" w:right="338" w:rightChars="161"/>
              <w:jc w:val="center"/>
              <w:rPr>
                <w:rFonts w:ascii="宋体" w:hAnsi="宋体"/>
              </w:rPr>
            </w:pPr>
          </w:p>
        </w:tc>
        <w:tc>
          <w:tcPr>
            <w:tcW w:w="1005" w:type="dxa"/>
            <w:vAlign w:val="center"/>
          </w:tcPr>
          <w:p>
            <w:pPr>
              <w:ind w:right="338" w:rightChars="161"/>
              <w:jc w:val="center"/>
              <w:rPr>
                <w:rFonts w:ascii="宋体" w:hAnsi="宋体"/>
              </w:rPr>
            </w:pPr>
          </w:p>
        </w:tc>
        <w:tc>
          <w:tcPr>
            <w:tcW w:w="1174" w:type="dxa"/>
            <w:gridSpan w:val="2"/>
            <w:vAlign w:val="center"/>
          </w:tcPr>
          <w:p>
            <w:pPr>
              <w:ind w:right="338" w:rightChars="161"/>
              <w:jc w:val="center"/>
              <w:rPr>
                <w:rFonts w:ascii="宋体" w:hAnsi="宋体"/>
                <w:bCs/>
              </w:rPr>
            </w:pPr>
          </w:p>
        </w:tc>
        <w:tc>
          <w:tcPr>
            <w:tcW w:w="2228" w:type="dxa"/>
            <w:gridSpan w:val="2"/>
            <w:vAlign w:val="center"/>
          </w:tcPr>
          <w:p>
            <w:pPr>
              <w:ind w:right="338" w:rightChars="161"/>
              <w:jc w:val="center"/>
              <w:rPr>
                <w:rFonts w:ascii="宋体" w:hAnsi="宋体"/>
                <w:szCs w:val="32"/>
              </w:rPr>
            </w:pPr>
          </w:p>
        </w:tc>
        <w:tc>
          <w:tcPr>
            <w:tcW w:w="2417" w:type="dxa"/>
            <w:vAlign w:val="center"/>
          </w:tcPr>
          <w:p>
            <w:pPr>
              <w:ind w:left="-107" w:leftChars="-51" w:right="338" w:rightChars="16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16" w:type="dxa"/>
            <w:vAlign w:val="center"/>
          </w:tcPr>
          <w:p>
            <w:pPr>
              <w:ind w:left="-107" w:leftChars="-51" w:right="338" w:rightChars="161"/>
              <w:jc w:val="center"/>
              <w:rPr>
                <w:rFonts w:ascii="宋体" w:hAnsi="宋体"/>
              </w:rPr>
            </w:pPr>
          </w:p>
        </w:tc>
        <w:tc>
          <w:tcPr>
            <w:tcW w:w="721" w:type="dxa"/>
            <w:vAlign w:val="center"/>
          </w:tcPr>
          <w:p>
            <w:pPr>
              <w:ind w:left="-107" w:leftChars="-51" w:right="338" w:rightChars="161"/>
              <w:jc w:val="center"/>
              <w:rPr>
                <w:rFonts w:ascii="宋体" w:hAnsi="宋体"/>
              </w:rPr>
            </w:pPr>
          </w:p>
        </w:tc>
        <w:tc>
          <w:tcPr>
            <w:tcW w:w="956" w:type="dxa"/>
            <w:gridSpan w:val="2"/>
            <w:vAlign w:val="center"/>
          </w:tcPr>
          <w:p>
            <w:pPr>
              <w:ind w:left="-107" w:leftChars="-51" w:right="338" w:rightChars="161"/>
              <w:jc w:val="center"/>
              <w:rPr>
                <w:rFonts w:ascii="宋体" w:hAnsi="宋体"/>
              </w:rPr>
            </w:pPr>
          </w:p>
        </w:tc>
        <w:tc>
          <w:tcPr>
            <w:tcW w:w="720" w:type="dxa"/>
            <w:vAlign w:val="center"/>
          </w:tcPr>
          <w:p>
            <w:pPr>
              <w:ind w:left="-107" w:leftChars="-51" w:right="338" w:rightChars="161"/>
              <w:jc w:val="center"/>
              <w:rPr>
                <w:rFonts w:ascii="宋体" w:hAnsi="宋体"/>
              </w:rPr>
            </w:pPr>
          </w:p>
        </w:tc>
        <w:tc>
          <w:tcPr>
            <w:tcW w:w="1005" w:type="dxa"/>
            <w:vAlign w:val="center"/>
          </w:tcPr>
          <w:p>
            <w:pPr>
              <w:ind w:right="338" w:rightChars="161"/>
              <w:jc w:val="center"/>
              <w:rPr>
                <w:rFonts w:ascii="宋体" w:hAnsi="宋体"/>
              </w:rPr>
            </w:pPr>
          </w:p>
        </w:tc>
        <w:tc>
          <w:tcPr>
            <w:tcW w:w="1174" w:type="dxa"/>
            <w:gridSpan w:val="2"/>
            <w:vAlign w:val="center"/>
          </w:tcPr>
          <w:p>
            <w:pPr>
              <w:ind w:right="338" w:rightChars="161"/>
              <w:jc w:val="center"/>
              <w:rPr>
                <w:rFonts w:ascii="宋体" w:hAnsi="宋体"/>
                <w:bCs/>
              </w:rPr>
            </w:pPr>
          </w:p>
        </w:tc>
        <w:tc>
          <w:tcPr>
            <w:tcW w:w="2228" w:type="dxa"/>
            <w:gridSpan w:val="2"/>
            <w:vAlign w:val="center"/>
          </w:tcPr>
          <w:p>
            <w:pPr>
              <w:ind w:right="338" w:rightChars="161"/>
              <w:jc w:val="center"/>
              <w:rPr>
                <w:rFonts w:ascii="宋体" w:hAnsi="宋体"/>
                <w:szCs w:val="32"/>
              </w:rPr>
            </w:pPr>
          </w:p>
        </w:tc>
        <w:tc>
          <w:tcPr>
            <w:tcW w:w="2417" w:type="dxa"/>
            <w:vAlign w:val="center"/>
          </w:tcPr>
          <w:p>
            <w:pPr>
              <w:ind w:left="-107" w:leftChars="-51" w:right="338" w:rightChars="161"/>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16" w:type="dxa"/>
          </w:tcPr>
          <w:p>
            <w:pPr>
              <w:ind w:left="-111" w:leftChars="-53" w:right="338" w:rightChars="161"/>
              <w:jc w:val="center"/>
              <w:rPr>
                <w:rFonts w:ascii="宋体" w:hAnsi="宋体"/>
              </w:rPr>
            </w:pPr>
            <w:r>
              <w:rPr>
                <w:rFonts w:hint="eastAsia" w:ascii="宋体" w:hAnsi="宋体"/>
              </w:rPr>
              <w:t>…</w:t>
            </w:r>
          </w:p>
        </w:tc>
        <w:tc>
          <w:tcPr>
            <w:tcW w:w="721" w:type="dxa"/>
          </w:tcPr>
          <w:p>
            <w:pPr>
              <w:ind w:left="-111" w:leftChars="-53" w:right="338" w:rightChars="161"/>
              <w:jc w:val="center"/>
              <w:rPr>
                <w:rFonts w:ascii="宋体" w:hAnsi="宋体"/>
              </w:rPr>
            </w:pPr>
            <w:r>
              <w:rPr>
                <w:rFonts w:hint="eastAsia" w:ascii="宋体" w:hAnsi="宋体"/>
              </w:rPr>
              <w:t>…</w:t>
            </w:r>
          </w:p>
        </w:tc>
        <w:tc>
          <w:tcPr>
            <w:tcW w:w="956" w:type="dxa"/>
            <w:gridSpan w:val="2"/>
          </w:tcPr>
          <w:p>
            <w:pPr>
              <w:ind w:left="-111" w:leftChars="-53" w:right="338" w:rightChars="161"/>
              <w:jc w:val="center"/>
              <w:rPr>
                <w:rFonts w:ascii="宋体" w:hAnsi="宋体"/>
              </w:rPr>
            </w:pPr>
            <w:r>
              <w:rPr>
                <w:rFonts w:hint="eastAsia" w:ascii="宋体" w:hAnsi="宋体"/>
              </w:rPr>
              <w:t>…</w:t>
            </w:r>
          </w:p>
        </w:tc>
        <w:tc>
          <w:tcPr>
            <w:tcW w:w="720" w:type="dxa"/>
          </w:tcPr>
          <w:p>
            <w:pPr>
              <w:ind w:left="-111" w:leftChars="-53" w:right="338" w:rightChars="161"/>
              <w:jc w:val="center"/>
              <w:rPr>
                <w:rFonts w:ascii="宋体" w:hAnsi="宋体"/>
              </w:rPr>
            </w:pPr>
            <w:r>
              <w:rPr>
                <w:rFonts w:hint="eastAsia" w:ascii="宋体" w:hAnsi="宋体"/>
              </w:rPr>
              <w:t>…</w:t>
            </w:r>
          </w:p>
        </w:tc>
        <w:tc>
          <w:tcPr>
            <w:tcW w:w="1005" w:type="dxa"/>
          </w:tcPr>
          <w:p>
            <w:pPr>
              <w:ind w:left="-111" w:leftChars="-53" w:right="338" w:rightChars="161"/>
              <w:jc w:val="center"/>
              <w:rPr>
                <w:rFonts w:ascii="宋体" w:hAnsi="宋体"/>
              </w:rPr>
            </w:pPr>
            <w:r>
              <w:rPr>
                <w:rFonts w:hint="eastAsia" w:ascii="宋体" w:hAnsi="宋体"/>
              </w:rPr>
              <w:t>…</w:t>
            </w:r>
          </w:p>
        </w:tc>
        <w:tc>
          <w:tcPr>
            <w:tcW w:w="1174" w:type="dxa"/>
            <w:gridSpan w:val="2"/>
          </w:tcPr>
          <w:p>
            <w:pPr>
              <w:ind w:left="-111" w:leftChars="-53" w:right="338" w:rightChars="161"/>
              <w:jc w:val="center"/>
              <w:rPr>
                <w:rFonts w:ascii="宋体" w:hAnsi="宋体"/>
                <w:bCs/>
              </w:rPr>
            </w:pPr>
            <w:r>
              <w:rPr>
                <w:rFonts w:hint="eastAsia" w:ascii="宋体" w:hAnsi="宋体"/>
              </w:rPr>
              <w:t>…</w:t>
            </w:r>
          </w:p>
        </w:tc>
        <w:tc>
          <w:tcPr>
            <w:tcW w:w="2228" w:type="dxa"/>
            <w:gridSpan w:val="2"/>
          </w:tcPr>
          <w:p>
            <w:pPr>
              <w:ind w:left="-111" w:leftChars="-53" w:right="338" w:rightChars="161"/>
              <w:jc w:val="center"/>
              <w:rPr>
                <w:rFonts w:ascii="宋体" w:hAnsi="宋体"/>
                <w:szCs w:val="32"/>
              </w:rPr>
            </w:pPr>
            <w:r>
              <w:rPr>
                <w:rFonts w:hint="eastAsia" w:ascii="宋体" w:hAnsi="宋体"/>
              </w:rPr>
              <w:t>…</w:t>
            </w:r>
          </w:p>
        </w:tc>
        <w:tc>
          <w:tcPr>
            <w:tcW w:w="2417" w:type="dxa"/>
          </w:tcPr>
          <w:p>
            <w:pPr>
              <w:ind w:left="-111" w:leftChars="-53" w:right="338" w:rightChars="161"/>
              <w:jc w:val="center"/>
              <w:rPr>
                <w:rFonts w:ascii="宋体" w:hAnsi="宋体"/>
              </w:rPr>
            </w:pPr>
            <w:r>
              <w:rPr>
                <w:rFonts w:hint="eastAsia" w:ascii="宋体" w:hAnsi="宋体"/>
              </w:rPr>
              <w:t>…</w:t>
            </w:r>
          </w:p>
        </w:tc>
      </w:tr>
    </w:tbl>
    <w:p>
      <w:pPr>
        <w:ind w:right="338" w:rightChars="161"/>
        <w:rPr>
          <w:rFonts w:ascii="Arial" w:hAnsi="Arial" w:cs="Arial"/>
          <w:b/>
          <w:szCs w:val="21"/>
        </w:rPr>
      </w:pPr>
      <w:r>
        <w:rPr>
          <w:rFonts w:hint="eastAsia" w:ascii="Arial" w:hAnsi="Arial" w:cs="Arial"/>
          <w:b/>
          <w:szCs w:val="21"/>
        </w:rPr>
        <w:t>后附人员单独详细简历及资质情况介绍</w:t>
      </w:r>
    </w:p>
    <w:p>
      <w:pPr>
        <w:ind w:left="480" w:right="338" w:rightChars="161" w:hanging="480" w:hangingChars="200"/>
        <w:jc w:val="left"/>
        <w:rPr>
          <w:rFonts w:ascii="Arial" w:hAnsi="Arial" w:eastAsia="仿宋_GB2312" w:cs="Arial"/>
          <w:bCs/>
          <w:sz w:val="24"/>
        </w:rPr>
      </w:pPr>
      <w:r>
        <w:rPr>
          <w:rFonts w:ascii="Arial" w:hAnsi="Arial" w:eastAsia="仿宋_GB2312" w:cs="Arial"/>
          <w:bCs/>
          <w:sz w:val="24"/>
        </w:rPr>
        <w:t>注：1、上述项目组主要人员须按照下表单独列表详细说明并提供人员的资质证书复印件，上述人员在项目执行过程中未得到招标人书面同意不得更换。</w:t>
      </w:r>
    </w:p>
    <w:p>
      <w:pPr>
        <w:ind w:left="420" w:leftChars="200" w:right="338" w:rightChars="161" w:firstLine="120" w:firstLineChars="50"/>
        <w:jc w:val="left"/>
        <w:rPr>
          <w:rFonts w:ascii="Arial" w:hAnsi="Arial" w:eastAsia="仿宋_GB2312" w:cs="Arial"/>
          <w:bCs/>
          <w:sz w:val="24"/>
        </w:rPr>
      </w:pPr>
      <w:r>
        <w:rPr>
          <w:rFonts w:hint="eastAsia" w:ascii="Arial" w:hAnsi="Arial" w:eastAsia="仿宋_GB2312" w:cs="Arial"/>
          <w:bCs/>
          <w:sz w:val="24"/>
        </w:rPr>
        <w:t>2</w:t>
      </w:r>
      <w:r>
        <w:rPr>
          <w:rFonts w:ascii="Arial" w:hAnsi="Arial" w:eastAsia="仿宋_GB2312" w:cs="Arial"/>
          <w:bCs/>
          <w:sz w:val="24"/>
        </w:rPr>
        <w:t>、供应商可根据实际情况自行调整表格行数。</w:t>
      </w:r>
    </w:p>
    <w:p>
      <w:pPr>
        <w:pStyle w:val="148"/>
        <w:adjustRightInd/>
        <w:snapToGrid/>
        <w:spacing w:after="0"/>
        <w:ind w:right="338" w:rightChars="161"/>
        <w:rPr>
          <w:rFonts w:ascii="Arial" w:hAnsi="Arial" w:cs="Arial"/>
          <w:u w:val="single"/>
        </w:rPr>
      </w:pPr>
      <w:bookmarkStart w:id="784" w:name="OLE_LINK26"/>
      <w:bookmarkStart w:id="785" w:name="OLE_LINK25"/>
      <w:r>
        <w:rPr>
          <w:rFonts w:ascii="Arial" w:hAnsi="Arial" w:cs="Arial"/>
        </w:rPr>
        <w:t>供应商名称：</w:t>
      </w:r>
      <w:r>
        <w:rPr>
          <w:rFonts w:ascii="Arial" w:hAnsi="Arial" w:cs="Arial"/>
          <w:u w:val="single"/>
        </w:rPr>
        <w:t>公章</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签字</w:t>
      </w:r>
    </w:p>
    <w:p>
      <w:pPr>
        <w:spacing w:line="360" w:lineRule="auto"/>
        <w:ind w:right="338" w:rightChars="161"/>
        <w:jc w:val="left"/>
        <w:rPr>
          <w:rFonts w:ascii="Arial" w:hAnsi="Arial" w:eastAsia="黑体" w:cs="Arial"/>
          <w:sz w:val="30"/>
          <w:szCs w:val="30"/>
        </w:rPr>
      </w:pPr>
      <w:r>
        <w:rPr>
          <w:rFonts w:ascii="Arial" w:hAnsi="Arial" w:cs="Arial"/>
          <w:sz w:val="24"/>
        </w:rPr>
        <w:t>日期：</w:t>
      </w:r>
    </w:p>
    <w:bookmarkEnd w:id="784"/>
    <w:bookmarkEnd w:id="785"/>
    <w:p>
      <w:pPr>
        <w:pStyle w:val="158"/>
        <w:snapToGrid w:val="0"/>
        <w:spacing w:after="240" w:afterLines="100" w:line="360" w:lineRule="auto"/>
        <w:ind w:right="338" w:rightChars="161"/>
        <w:rPr>
          <w:rFonts w:ascii="Arial" w:hAnsi="Arial" w:eastAsia="黑体" w:cs="Arial"/>
          <w:b w:val="0"/>
          <w:sz w:val="30"/>
          <w:szCs w:val="30"/>
        </w:rPr>
        <w:sectPr>
          <w:pgSz w:w="11906" w:h="16838"/>
          <w:pgMar w:top="1247" w:right="1247" w:bottom="1247" w:left="1247" w:header="851" w:footer="992" w:gutter="0"/>
          <w:cols w:space="720" w:num="1"/>
          <w:titlePg/>
          <w:docGrid w:linePitch="312" w:charSpace="0"/>
        </w:sectPr>
      </w:pPr>
    </w:p>
    <w:p>
      <w:pPr>
        <w:pStyle w:val="178"/>
        <w:spacing w:line="360" w:lineRule="auto"/>
        <w:ind w:right="338" w:rightChars="161" w:firstLine="618"/>
        <w:jc w:val="center"/>
        <w:rPr>
          <w:b/>
          <w:bCs/>
        </w:rPr>
      </w:pPr>
      <w:bookmarkStart w:id="786" w:name="_Toc27475568"/>
      <w:bookmarkStart w:id="787" w:name="_Toc481468390"/>
      <w:r>
        <w:rPr>
          <w:b/>
          <w:bCs/>
        </w:rPr>
        <w:t>附件9-2</w:t>
      </w:r>
      <w:bookmarkEnd w:id="786"/>
      <w:bookmarkEnd w:id="787"/>
      <w:r>
        <w:rPr>
          <w:rFonts w:hint="eastAsia"/>
          <w:b/>
          <w:bCs/>
        </w:rPr>
        <w:t>服务团队人员资质文件</w:t>
      </w:r>
    </w:p>
    <w:p>
      <w:pPr>
        <w:spacing w:line="360" w:lineRule="auto"/>
        <w:ind w:right="338" w:rightChars="161"/>
        <w:rPr>
          <w:rFonts w:ascii="宋体" w:hAnsi="宋体"/>
          <w:b/>
          <w:bCs/>
          <w:szCs w:val="21"/>
        </w:rPr>
      </w:pPr>
      <w:r>
        <w:rPr>
          <w:rFonts w:hint="eastAsia" w:ascii="宋体" w:hAnsi="宋体"/>
          <w:b/>
          <w:bCs/>
        </w:rPr>
        <w:t>注：供应商根据《服务团队人员列表》的顺序，将服务团队人员的学历证书、资质证书（如有）复印件附于此。复印件应能清晰显示人员姓名、有效期等关键信息。</w:t>
      </w:r>
    </w:p>
    <w:p>
      <w:pPr>
        <w:pStyle w:val="76"/>
        <w:ind w:right="338" w:rightChars="161"/>
        <w:rPr>
          <w:rFonts w:ascii="宋体" w:hAnsi="宋体"/>
          <w:b/>
          <w:bCs/>
          <w:color w:val="auto"/>
        </w:rPr>
        <w:sectPr>
          <w:pgSz w:w="12240" w:h="15840"/>
          <w:pgMar w:top="1440" w:right="1800" w:bottom="1440" w:left="1800" w:header="720" w:footer="720" w:gutter="0"/>
          <w:cols w:space="720" w:num="1"/>
        </w:sectPr>
      </w:pPr>
    </w:p>
    <w:p>
      <w:pPr>
        <w:spacing w:line="360" w:lineRule="auto"/>
        <w:ind w:right="338" w:rightChars="161"/>
        <w:jc w:val="center"/>
        <w:rPr>
          <w:rFonts w:ascii="Arial" w:hAnsi="Arial" w:eastAsia="黑体" w:cs="Arial"/>
          <w:sz w:val="30"/>
          <w:szCs w:val="30"/>
        </w:rPr>
      </w:pPr>
      <w:r>
        <w:rPr>
          <w:rFonts w:ascii="Arial" w:hAnsi="Arial" w:eastAsia="黑体" w:cs="Arial"/>
          <w:sz w:val="30"/>
          <w:szCs w:val="30"/>
        </w:rPr>
        <w:t>附件10资格证明文件</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snapToGrid w:val="0"/>
        <w:spacing w:line="360" w:lineRule="auto"/>
        <w:ind w:left="482" w:right="338" w:rightChars="161"/>
        <w:rPr>
          <w:rFonts w:ascii="Arial" w:hAnsi="Arial" w:cs="Arial"/>
          <w:bCs/>
          <w:sz w:val="24"/>
        </w:rPr>
      </w:pPr>
      <w:r>
        <w:rPr>
          <w:rFonts w:ascii="Arial" w:hAnsi="Arial" w:cs="Arial"/>
          <w:bCs/>
          <w:sz w:val="24"/>
        </w:rPr>
        <w:t>详见第二章磋商资料表9.1中描述</w:t>
      </w:r>
    </w:p>
    <w:p>
      <w:pPr>
        <w:snapToGrid w:val="0"/>
        <w:spacing w:line="360" w:lineRule="auto"/>
        <w:ind w:right="338" w:rightChars="161"/>
        <w:rPr>
          <w:rFonts w:ascii="宋体" w:hAnsi="宋体" w:cs="Arial"/>
          <w:bCs/>
          <w:sz w:val="24"/>
        </w:rPr>
      </w:pPr>
      <w:r>
        <w:rPr>
          <w:rFonts w:hint="eastAsia" w:ascii="宋体" w:hAnsi="宋体" w:cs="Arial"/>
          <w:bCs/>
          <w:sz w:val="24"/>
        </w:rPr>
        <w:t>a)有效的企业法人营业执照副本（或事业单位法人证书）、税务登记证、组织机构代码证复印件，或“三证合一证书”复印件；</w:t>
      </w:r>
    </w:p>
    <w:p>
      <w:pPr>
        <w:snapToGrid w:val="0"/>
        <w:spacing w:line="360" w:lineRule="auto"/>
        <w:ind w:right="338" w:rightChars="161"/>
        <w:rPr>
          <w:rFonts w:ascii="宋体" w:hAnsi="宋体" w:cs="Arial"/>
          <w:bCs/>
          <w:sz w:val="24"/>
        </w:rPr>
      </w:pPr>
      <w:r>
        <w:rPr>
          <w:rFonts w:hint="eastAsia" w:ascii="宋体" w:hAnsi="宋体" w:cs="Arial"/>
          <w:bCs/>
          <w:sz w:val="24"/>
        </w:rPr>
        <w:t>b)经会计师事务所审计的2020年度财务审计报告复印件或磋商前三个月内（202</w:t>
      </w:r>
      <w:r>
        <w:rPr>
          <w:rFonts w:ascii="宋体" w:hAnsi="宋体" w:cs="Arial"/>
          <w:bCs/>
          <w:sz w:val="24"/>
        </w:rPr>
        <w:t>1</w:t>
      </w:r>
      <w:r>
        <w:rPr>
          <w:rFonts w:hint="eastAsia" w:ascii="宋体" w:hAnsi="宋体" w:cs="Arial"/>
          <w:bCs/>
          <w:sz w:val="24"/>
        </w:rPr>
        <w:t>年</w:t>
      </w:r>
      <w:r>
        <w:rPr>
          <w:rFonts w:ascii="宋体" w:hAnsi="宋体" w:cs="Arial"/>
          <w:bCs/>
          <w:sz w:val="24"/>
        </w:rPr>
        <w:t>12</w:t>
      </w:r>
      <w:r>
        <w:rPr>
          <w:rFonts w:hint="eastAsia" w:ascii="宋体" w:hAnsi="宋体" w:cs="Arial"/>
          <w:bCs/>
          <w:sz w:val="24"/>
        </w:rPr>
        <w:t>月、</w:t>
      </w:r>
      <w:r>
        <w:rPr>
          <w:rFonts w:ascii="宋体" w:hAnsi="宋体" w:cs="Arial"/>
          <w:bCs/>
          <w:sz w:val="24"/>
        </w:rPr>
        <w:t>11</w:t>
      </w:r>
      <w:r>
        <w:rPr>
          <w:rFonts w:hint="eastAsia" w:ascii="宋体" w:hAnsi="宋体" w:cs="Arial"/>
          <w:bCs/>
          <w:sz w:val="24"/>
        </w:rPr>
        <w:t>月、1</w:t>
      </w:r>
      <w:r>
        <w:rPr>
          <w:rFonts w:ascii="宋体" w:hAnsi="宋体" w:cs="Arial"/>
          <w:bCs/>
          <w:sz w:val="24"/>
        </w:rPr>
        <w:t>0</w:t>
      </w:r>
      <w:r>
        <w:rPr>
          <w:rFonts w:hint="eastAsia" w:ascii="宋体" w:hAnsi="宋体" w:cs="Arial"/>
          <w:bCs/>
          <w:sz w:val="24"/>
        </w:rPr>
        <w:t>月任意一个月）供应商开户银行出具的资信证明（银行资信证明可以是复印件加盖本单位公章；存款证明无效）；</w:t>
      </w:r>
    </w:p>
    <w:p>
      <w:pPr>
        <w:snapToGrid w:val="0"/>
        <w:spacing w:line="360" w:lineRule="auto"/>
        <w:ind w:right="338" w:rightChars="161"/>
        <w:rPr>
          <w:rFonts w:ascii="宋体" w:hAnsi="宋体" w:cs="Arial"/>
          <w:bCs/>
          <w:sz w:val="24"/>
        </w:rPr>
      </w:pPr>
      <w:r>
        <w:rPr>
          <w:rFonts w:hint="eastAsia" w:ascii="宋体" w:hAnsi="宋体" w:cs="Arial"/>
          <w:bCs/>
          <w:sz w:val="24"/>
        </w:rPr>
        <w:t>c)2021年1月1日以来，任意一个月依法缴纳税收（不接受个人所得税和印花税）证明文件复印件；</w:t>
      </w:r>
    </w:p>
    <w:p>
      <w:pPr>
        <w:snapToGrid w:val="0"/>
        <w:spacing w:line="360" w:lineRule="auto"/>
        <w:ind w:right="338" w:rightChars="161"/>
        <w:rPr>
          <w:rFonts w:ascii="宋体" w:hAnsi="宋体" w:cs="Arial"/>
          <w:bCs/>
          <w:sz w:val="24"/>
        </w:rPr>
      </w:pPr>
      <w:r>
        <w:rPr>
          <w:rFonts w:hint="eastAsia" w:ascii="宋体" w:hAnsi="宋体" w:cs="Arial"/>
          <w:bCs/>
          <w:sz w:val="24"/>
        </w:rPr>
        <w:t>d)2021年1月1日以来，任意一个月社会保障资金证明文件复印件；</w:t>
      </w:r>
    </w:p>
    <w:p>
      <w:pPr>
        <w:snapToGrid w:val="0"/>
        <w:spacing w:line="360" w:lineRule="auto"/>
        <w:ind w:right="338" w:rightChars="161"/>
        <w:rPr>
          <w:rFonts w:ascii="宋体" w:hAnsi="宋体" w:cs="Arial"/>
          <w:bCs/>
          <w:sz w:val="24"/>
        </w:rPr>
      </w:pPr>
      <w:r>
        <w:rPr>
          <w:rFonts w:hint="eastAsia" w:ascii="宋体" w:hAnsi="宋体" w:cs="Arial"/>
          <w:bCs/>
          <w:sz w:val="24"/>
        </w:rPr>
        <w:t>f）供应商的承诺函（格式下附）;</w:t>
      </w:r>
    </w:p>
    <w:p>
      <w:pPr>
        <w:snapToGrid w:val="0"/>
        <w:spacing w:line="360" w:lineRule="auto"/>
        <w:ind w:right="338" w:rightChars="161"/>
        <w:rPr>
          <w:rFonts w:ascii="宋体" w:hAnsi="宋体" w:cs="Arial"/>
          <w:bCs/>
          <w:sz w:val="24"/>
        </w:rPr>
      </w:pPr>
      <w:r>
        <w:rPr>
          <w:rFonts w:hint="eastAsia" w:ascii="宋体" w:hAnsi="宋体" w:cs="Arial"/>
          <w:bCs/>
          <w:sz w:val="24"/>
        </w:rPr>
        <w:t>g</w:t>
      </w:r>
      <w:r>
        <w:rPr>
          <w:rFonts w:ascii="宋体" w:hAnsi="宋体" w:cs="Arial"/>
          <w:bCs/>
          <w:sz w:val="24"/>
        </w:rPr>
        <w:t>)</w:t>
      </w:r>
      <w:r>
        <w:rPr>
          <w:rFonts w:hint="eastAsia" w:cs="Segoe UI" w:asciiTheme="minorEastAsia" w:hAnsiTheme="minorEastAsia" w:eastAsiaTheme="minorEastAsia"/>
          <w:kern w:val="0"/>
          <w:sz w:val="24"/>
        </w:rPr>
        <w:t xml:space="preserve"> </w:t>
      </w:r>
      <w:r>
        <w:rPr>
          <w:rFonts w:hint="eastAsia" w:ascii="宋体" w:hAnsi="宋体" w:cs="Arial"/>
          <w:bCs/>
          <w:sz w:val="24"/>
        </w:rPr>
        <w:t>供应商</w:t>
      </w:r>
      <w:r>
        <w:rPr>
          <w:rFonts w:hint="eastAsia" w:cs="Segoe UI" w:asciiTheme="minorEastAsia" w:hAnsiTheme="minorEastAsia" w:eastAsiaTheme="minorEastAsia"/>
          <w:kern w:val="0"/>
          <w:sz w:val="24"/>
        </w:rPr>
        <w:t>有效的《食品经营许可证》或《食品生产许可证》;</w:t>
      </w:r>
    </w:p>
    <w:p>
      <w:pPr>
        <w:pStyle w:val="4"/>
        <w:ind w:right="338" w:rightChars="161"/>
        <w:jc w:val="center"/>
        <w:rPr>
          <w:rFonts w:ascii="黑体" w:hAnsi="黑体" w:cs="Arial"/>
          <w:sz w:val="30"/>
          <w:szCs w:val="30"/>
        </w:rPr>
      </w:pPr>
      <w:bookmarkStart w:id="788" w:name="_Toc54721756"/>
      <w:bookmarkStart w:id="789" w:name="_Toc57032389"/>
      <w:bookmarkStart w:id="790" w:name="_Toc92357019"/>
      <w:bookmarkStart w:id="791" w:name="_Toc92965936"/>
      <w:r>
        <w:rPr>
          <w:rFonts w:hint="eastAsia" w:ascii="黑体" w:hAnsi="黑体" w:cs="Arial"/>
          <w:sz w:val="30"/>
          <w:szCs w:val="30"/>
        </w:rPr>
        <w:t>供应商的承诺函</w:t>
      </w:r>
      <w:bookmarkEnd w:id="788"/>
      <w:bookmarkEnd w:id="789"/>
      <w:bookmarkEnd w:id="790"/>
      <w:bookmarkEnd w:id="791"/>
    </w:p>
    <w:p>
      <w:pPr>
        <w:spacing w:line="360" w:lineRule="auto"/>
        <w:ind w:right="338" w:rightChars="161"/>
        <w:contextualSpacing/>
        <w:jc w:val="left"/>
        <w:rPr>
          <w:rFonts w:ascii="宋体" w:hAnsi="宋体"/>
          <w:bCs/>
          <w:kern w:val="24"/>
          <w:sz w:val="24"/>
        </w:rPr>
      </w:pPr>
      <w:r>
        <w:rPr>
          <w:rFonts w:hint="eastAsia" w:ascii="宋体" w:hAnsi="宋体"/>
          <w:bCs/>
          <w:kern w:val="24"/>
          <w:sz w:val="24"/>
        </w:rPr>
        <w:t>致：中信国际招标有限公司</w:t>
      </w:r>
    </w:p>
    <w:p>
      <w:pPr>
        <w:spacing w:line="360" w:lineRule="auto"/>
        <w:ind w:right="338" w:rightChars="161"/>
        <w:contextualSpacing/>
        <w:rPr>
          <w:rFonts w:ascii="宋体" w:hAnsi="宋体"/>
          <w:kern w:val="24"/>
          <w:sz w:val="24"/>
        </w:rPr>
      </w:pPr>
      <w:r>
        <w:rPr>
          <w:rFonts w:hint="eastAsia" w:ascii="宋体" w:hAnsi="宋体"/>
          <w:kern w:val="24"/>
          <w:sz w:val="24"/>
        </w:rPr>
        <w:t>本单位作为本次采购项目的供应商，郑重承诺具备以下条件：</w:t>
      </w:r>
    </w:p>
    <w:p>
      <w:pPr>
        <w:spacing w:line="360" w:lineRule="auto"/>
        <w:ind w:right="338" w:rightChars="161" w:firstLine="235" w:firstLineChars="98"/>
        <w:contextualSpacing/>
        <w:rPr>
          <w:rFonts w:ascii="宋体" w:hAnsi="宋体"/>
          <w:kern w:val="24"/>
          <w:sz w:val="24"/>
        </w:rPr>
      </w:pPr>
      <w:r>
        <w:rPr>
          <w:rFonts w:hint="eastAsia" w:ascii="宋体" w:hAnsi="宋体"/>
          <w:kern w:val="24"/>
          <w:sz w:val="24"/>
        </w:rPr>
        <w:t>（1）具有良好的商业信誉和健全的财务会计制度；</w:t>
      </w:r>
    </w:p>
    <w:p>
      <w:pPr>
        <w:spacing w:line="360" w:lineRule="auto"/>
        <w:ind w:right="338" w:rightChars="161" w:firstLine="235" w:firstLineChars="98"/>
        <w:contextualSpacing/>
        <w:rPr>
          <w:rFonts w:ascii="宋体" w:hAnsi="宋体"/>
          <w:kern w:val="24"/>
          <w:sz w:val="24"/>
        </w:rPr>
      </w:pPr>
      <w:r>
        <w:rPr>
          <w:rFonts w:hint="eastAsia" w:ascii="宋体" w:hAnsi="宋体"/>
          <w:kern w:val="24"/>
          <w:sz w:val="24"/>
        </w:rPr>
        <w:t>（2）具有履行合同所必需的设备和专业技术能力；</w:t>
      </w:r>
    </w:p>
    <w:p>
      <w:pPr>
        <w:spacing w:line="360" w:lineRule="auto"/>
        <w:ind w:right="338" w:rightChars="161" w:firstLine="235" w:firstLineChars="98"/>
        <w:contextualSpacing/>
        <w:rPr>
          <w:rFonts w:ascii="宋体" w:hAnsi="宋体"/>
          <w:kern w:val="24"/>
          <w:sz w:val="24"/>
        </w:rPr>
      </w:pPr>
      <w:r>
        <w:rPr>
          <w:rFonts w:hint="eastAsia" w:ascii="宋体" w:hAnsi="宋体"/>
          <w:kern w:val="24"/>
          <w:sz w:val="24"/>
        </w:rPr>
        <w:t>（3）参加政府采购活动前三年内，在经营活动中没有重大违法记录；</w:t>
      </w:r>
    </w:p>
    <w:p>
      <w:pPr>
        <w:spacing w:line="360" w:lineRule="auto"/>
        <w:ind w:right="338" w:rightChars="161" w:firstLine="420"/>
        <w:rPr>
          <w:rFonts w:ascii="宋体" w:hAnsi="宋体"/>
          <w:kern w:val="24"/>
          <w:sz w:val="24"/>
        </w:rPr>
      </w:pPr>
      <w:r>
        <w:rPr>
          <w:rFonts w:hint="eastAsia" w:ascii="宋体" w:hAnsi="宋体"/>
          <w:kern w:val="24"/>
          <w:sz w:val="24"/>
        </w:rPr>
        <w:t>此外，我单位在此郑重承诺，</w:t>
      </w:r>
      <w:r>
        <w:rPr>
          <w:rFonts w:ascii="宋体" w:hAnsi="宋体"/>
          <w:bCs/>
          <w:kern w:val="24"/>
          <w:sz w:val="24"/>
        </w:rPr>
        <w:t>响应文件所提供的全部信息和资料是真实</w:t>
      </w:r>
      <w:r>
        <w:rPr>
          <w:rFonts w:hint="eastAsia" w:ascii="宋体" w:hAnsi="宋体"/>
          <w:bCs/>
          <w:kern w:val="24"/>
          <w:sz w:val="24"/>
        </w:rPr>
        <w:t>有效的，绝对不存在虚假应标、串通投标的行为。</w:t>
      </w:r>
      <w:r>
        <w:rPr>
          <w:rFonts w:ascii="宋体" w:hAnsi="宋体"/>
          <w:bCs/>
          <w:kern w:val="24"/>
          <w:sz w:val="24"/>
        </w:rPr>
        <w:t>如</w:t>
      </w:r>
      <w:r>
        <w:rPr>
          <w:rFonts w:hint="eastAsia" w:ascii="宋体" w:hAnsi="宋体"/>
          <w:bCs/>
          <w:kern w:val="24"/>
          <w:sz w:val="24"/>
        </w:rPr>
        <w:t>出现上述情况，我单位接受保证金不予退还，所响应按无效处理，且被列入采购人不良记录名单，</w:t>
      </w:r>
      <w:r>
        <w:rPr>
          <w:rFonts w:hint="eastAsia" w:ascii="宋体" w:hAnsi="宋体"/>
          <w:kern w:val="24"/>
          <w:sz w:val="24"/>
        </w:rPr>
        <w:t>3年内不得参加采购人任何采购活动的处罚。</w:t>
      </w:r>
    </w:p>
    <w:p>
      <w:pPr>
        <w:spacing w:line="360" w:lineRule="auto"/>
        <w:ind w:right="338" w:rightChars="161" w:firstLine="235" w:firstLineChars="98"/>
        <w:contextualSpacing/>
        <w:rPr>
          <w:rFonts w:ascii="宋体" w:hAnsi="宋体"/>
          <w:kern w:val="24"/>
          <w:sz w:val="24"/>
        </w:rPr>
      </w:pPr>
      <w:r>
        <w:rPr>
          <w:rFonts w:hint="eastAsia" w:ascii="宋体" w:hAnsi="宋体"/>
          <w:kern w:val="24"/>
          <w:sz w:val="24"/>
        </w:rPr>
        <w:t>本单位对上述承诺的真实性负责，如有虚假，将依法承担法律责任。</w:t>
      </w:r>
    </w:p>
    <w:p>
      <w:pPr>
        <w:spacing w:line="360" w:lineRule="auto"/>
        <w:ind w:right="338" w:rightChars="161" w:firstLine="235"/>
        <w:contextualSpacing/>
        <w:rPr>
          <w:rFonts w:ascii="宋体" w:hAnsi="宋体"/>
          <w:kern w:val="24"/>
          <w:sz w:val="24"/>
        </w:rPr>
      </w:pPr>
      <w:r>
        <w:rPr>
          <w:rFonts w:hint="eastAsia" w:ascii="宋体" w:hAnsi="宋体"/>
          <w:kern w:val="24"/>
          <w:sz w:val="24"/>
        </w:rPr>
        <w:t>特此承诺。</w:t>
      </w: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 xml:space="preserve">        公章         </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 xml:space="preserve">     签字             </w:t>
      </w:r>
    </w:p>
    <w:p>
      <w:pPr>
        <w:spacing w:line="360" w:lineRule="auto"/>
        <w:ind w:right="338" w:rightChars="161"/>
        <w:rPr>
          <w:rFonts w:ascii="Arial" w:hAnsi="Arial" w:cs="Arial"/>
          <w:sz w:val="24"/>
        </w:rPr>
      </w:pPr>
      <w:r>
        <w:rPr>
          <w:rFonts w:ascii="Arial" w:hAnsi="Arial" w:cs="Arial"/>
          <w:sz w:val="24"/>
        </w:rPr>
        <w:t xml:space="preserve">日期 ：                         </w:t>
      </w:r>
    </w:p>
    <w:p>
      <w:pPr>
        <w:pStyle w:val="4"/>
        <w:ind w:right="338" w:rightChars="161"/>
        <w:jc w:val="center"/>
        <w:rPr>
          <w:rFonts w:ascii="黑体" w:hAnsi="黑体" w:cs="Arial"/>
          <w:sz w:val="30"/>
          <w:szCs w:val="30"/>
        </w:rPr>
      </w:pPr>
      <w:r>
        <w:rPr>
          <w:rFonts w:cs="Arial"/>
          <w:sz w:val="30"/>
          <w:szCs w:val="30"/>
        </w:rPr>
        <w:br w:type="page"/>
      </w:r>
      <w:bookmarkStart w:id="792" w:name="_Toc92965937"/>
      <w:r>
        <w:rPr>
          <w:rFonts w:hint="eastAsia" w:ascii="黑体" w:hAnsi="黑体" w:cs="Arial"/>
          <w:sz w:val="30"/>
          <w:szCs w:val="30"/>
        </w:rPr>
        <w:t>供应商关于贫困地区农副产品的承诺函（如有则需提供）</w:t>
      </w:r>
      <w:bookmarkEnd w:id="792"/>
    </w:p>
    <w:p>
      <w:pPr>
        <w:spacing w:line="360" w:lineRule="auto"/>
        <w:ind w:right="338" w:rightChars="161"/>
        <w:contextualSpacing/>
        <w:jc w:val="left"/>
        <w:rPr>
          <w:rFonts w:ascii="宋体" w:hAnsi="宋体"/>
          <w:bCs/>
          <w:kern w:val="24"/>
          <w:sz w:val="24"/>
        </w:rPr>
      </w:pPr>
      <w:r>
        <w:rPr>
          <w:rFonts w:hint="eastAsia" w:ascii="宋体" w:hAnsi="宋体"/>
          <w:bCs/>
          <w:kern w:val="24"/>
          <w:sz w:val="24"/>
        </w:rPr>
        <w:t>致：中信国际招标有限公司</w:t>
      </w:r>
    </w:p>
    <w:p>
      <w:pPr>
        <w:spacing w:line="360" w:lineRule="auto"/>
        <w:ind w:right="338" w:rightChars="161" w:firstLine="420"/>
        <w:rPr>
          <w:rFonts w:ascii="宋体" w:hAnsi="宋体"/>
          <w:kern w:val="24"/>
          <w:sz w:val="24"/>
        </w:rPr>
      </w:pPr>
      <w:r>
        <w:rPr>
          <w:rFonts w:hint="eastAsia" w:ascii="宋体" w:hAnsi="宋体"/>
          <w:kern w:val="24"/>
          <w:sz w:val="24"/>
        </w:rPr>
        <w:t>本公司郑重声明，根据《关于运用政府采购政策支持脱贫攻坚的通知》（财库〔2019〕27 号）的规定，本公司承诺，一旦中标，针对</w:t>
      </w:r>
      <w:r>
        <w:rPr>
          <w:rFonts w:hint="eastAsia" w:ascii="宋体" w:hAnsi="宋体"/>
          <w:kern w:val="24"/>
          <w:sz w:val="24"/>
          <w:u w:val="single"/>
        </w:rPr>
        <w:t xml:space="preserve"> </w:t>
      </w:r>
      <w:r>
        <w:rPr>
          <w:rFonts w:hint="eastAsia" w:ascii="宋体" w:hAnsi="宋体"/>
          <w:kern w:val="24"/>
          <w:sz w:val="24"/>
          <w:u w:val="single"/>
        </w:rPr>
        <w:tab/>
      </w:r>
      <w:r>
        <w:rPr>
          <w:rFonts w:hint="eastAsia" w:ascii="宋体" w:hAnsi="宋体"/>
          <w:kern w:val="24"/>
          <w:sz w:val="24"/>
        </w:rPr>
        <w:t>项目（采购编号：</w:t>
      </w:r>
      <w:r>
        <w:rPr>
          <w:rFonts w:hint="eastAsia" w:ascii="宋体" w:hAnsi="宋体"/>
          <w:i/>
          <w:iCs/>
          <w:kern w:val="24"/>
          <w:sz w:val="24"/>
          <w:u w:val="single"/>
        </w:rPr>
        <w:t xml:space="preserve"> </w:t>
      </w:r>
      <w:r>
        <w:rPr>
          <w:rFonts w:ascii="宋体" w:hAnsi="宋体"/>
          <w:i/>
          <w:iCs/>
          <w:kern w:val="24"/>
          <w:sz w:val="24"/>
          <w:u w:val="single"/>
        </w:rPr>
        <w:t xml:space="preserve">     </w:t>
      </w:r>
      <w:r>
        <w:rPr>
          <w:rFonts w:hint="eastAsia" w:ascii="宋体" w:hAnsi="宋体"/>
          <w:kern w:val="24"/>
          <w:sz w:val="24"/>
        </w:rPr>
        <w:t>）所提供产品均为贫困地区农副产品。</w:t>
      </w:r>
    </w:p>
    <w:p>
      <w:pPr>
        <w:spacing w:line="360" w:lineRule="auto"/>
        <w:ind w:right="338" w:rightChars="161" w:firstLine="420"/>
        <w:rPr>
          <w:rFonts w:ascii="宋体" w:hAnsi="宋体"/>
          <w:kern w:val="24"/>
          <w:sz w:val="24"/>
        </w:rPr>
      </w:pPr>
      <w:r>
        <w:rPr>
          <w:rFonts w:hint="eastAsia" w:ascii="宋体" w:hAnsi="宋体"/>
          <w:kern w:val="24"/>
          <w:sz w:val="24"/>
        </w:rPr>
        <w:t>注：</w:t>
      </w:r>
      <w:bookmarkStart w:id="793" w:name="_Hlk92965801"/>
      <w:r>
        <w:rPr>
          <w:rFonts w:hint="eastAsia" w:ascii="宋体" w:hAnsi="宋体"/>
          <w:kern w:val="24"/>
          <w:sz w:val="24"/>
        </w:rPr>
        <w:t>贫困地区农副产品</w:t>
      </w:r>
      <w:bookmarkEnd w:id="793"/>
      <w:r>
        <w:rPr>
          <w:rFonts w:hint="eastAsia" w:ascii="宋体" w:hAnsi="宋体"/>
          <w:kern w:val="24"/>
          <w:sz w:val="24"/>
        </w:rPr>
        <w:t>是指 832 个国家级贫困县域内注册的企业、农民专业合作社、家庭农场等出产的农副产品。</w:t>
      </w:r>
    </w:p>
    <w:p>
      <w:pPr>
        <w:spacing w:line="360" w:lineRule="auto"/>
        <w:ind w:right="338" w:rightChars="161" w:firstLine="475" w:firstLineChars="198"/>
        <w:contextualSpacing/>
        <w:rPr>
          <w:rFonts w:ascii="宋体" w:hAnsi="宋体"/>
          <w:kern w:val="24"/>
          <w:sz w:val="24"/>
        </w:rPr>
      </w:pPr>
      <w:r>
        <w:rPr>
          <w:rFonts w:hint="eastAsia" w:ascii="宋体" w:hAnsi="宋体"/>
          <w:kern w:val="24"/>
          <w:sz w:val="24"/>
        </w:rPr>
        <w:t>本单位对上述承诺的真实性负责，如有虚假，将依法承担法律责任。</w:t>
      </w:r>
    </w:p>
    <w:p>
      <w:pPr>
        <w:spacing w:line="360" w:lineRule="auto"/>
        <w:ind w:right="338" w:rightChars="161" w:firstLine="480" w:firstLineChars="200"/>
        <w:contextualSpacing/>
        <w:rPr>
          <w:rFonts w:ascii="宋体" w:hAnsi="宋体"/>
          <w:kern w:val="24"/>
          <w:sz w:val="24"/>
        </w:rPr>
      </w:pPr>
      <w:r>
        <w:rPr>
          <w:rFonts w:hint="eastAsia" w:ascii="宋体" w:hAnsi="宋体"/>
          <w:kern w:val="24"/>
          <w:sz w:val="24"/>
        </w:rPr>
        <w:t>特此承诺。</w:t>
      </w: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 xml:space="preserve">        公章         </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 xml:space="preserve">     签字             </w:t>
      </w:r>
    </w:p>
    <w:p>
      <w:pPr>
        <w:spacing w:line="360" w:lineRule="auto"/>
        <w:ind w:right="338" w:rightChars="161"/>
        <w:rPr>
          <w:rFonts w:ascii="Arial" w:hAnsi="Arial" w:cs="Arial"/>
          <w:sz w:val="24"/>
        </w:rPr>
      </w:pPr>
      <w:r>
        <w:rPr>
          <w:rFonts w:ascii="Arial" w:hAnsi="Arial" w:cs="Arial"/>
          <w:sz w:val="24"/>
        </w:rPr>
        <w:t xml:space="preserve">日期 ：                         </w:t>
      </w:r>
    </w:p>
    <w:p>
      <w:pPr>
        <w:widowControl/>
        <w:ind w:right="338" w:rightChars="161"/>
        <w:jc w:val="left"/>
        <w:rPr>
          <w:rFonts w:ascii="Arial" w:hAnsi="Arial" w:eastAsia="黑体" w:cs="Arial"/>
          <w:sz w:val="30"/>
          <w:szCs w:val="30"/>
        </w:rPr>
      </w:pPr>
    </w:p>
    <w:p>
      <w:pPr>
        <w:widowControl/>
        <w:jc w:val="left"/>
        <w:rPr>
          <w:rFonts w:ascii="Arial" w:hAnsi="Arial" w:eastAsia="黑体" w:cs="Arial"/>
          <w:sz w:val="30"/>
          <w:szCs w:val="30"/>
        </w:rPr>
      </w:pPr>
      <w:bookmarkStart w:id="794" w:name="_Toc57032390"/>
      <w:bookmarkStart w:id="795" w:name="_Toc54721758"/>
      <w:bookmarkStart w:id="796" w:name="_Toc92357020"/>
      <w:bookmarkStart w:id="797" w:name="_Toc425848226"/>
      <w:r>
        <w:rPr>
          <w:rFonts w:ascii="Arial" w:hAnsi="Arial" w:eastAsia="黑体" w:cs="Arial"/>
          <w:sz w:val="30"/>
          <w:szCs w:val="30"/>
        </w:rPr>
        <w:br w:type="page"/>
      </w:r>
    </w:p>
    <w:p>
      <w:pPr>
        <w:snapToGrid w:val="0"/>
        <w:spacing w:line="360" w:lineRule="auto"/>
        <w:ind w:right="338" w:rightChars="161"/>
        <w:jc w:val="center"/>
        <w:rPr>
          <w:rFonts w:ascii="Arial" w:hAnsi="Arial" w:eastAsia="黑体" w:cs="Arial"/>
          <w:sz w:val="30"/>
          <w:szCs w:val="30"/>
        </w:rPr>
      </w:pPr>
      <w:r>
        <w:rPr>
          <w:rFonts w:ascii="Arial" w:hAnsi="Arial" w:eastAsia="黑体" w:cs="Arial"/>
          <w:sz w:val="30"/>
          <w:szCs w:val="30"/>
        </w:rPr>
        <w:t>附件</w:t>
      </w:r>
      <w:r>
        <w:rPr>
          <w:rFonts w:hint="eastAsia" w:ascii="Arial" w:hAnsi="Arial" w:eastAsia="黑体" w:cs="Arial"/>
          <w:sz w:val="30"/>
          <w:szCs w:val="30"/>
        </w:rPr>
        <w:t>1</w:t>
      </w:r>
      <w:r>
        <w:rPr>
          <w:rFonts w:ascii="Arial" w:hAnsi="Arial" w:eastAsia="黑体" w:cs="Arial"/>
          <w:sz w:val="30"/>
          <w:szCs w:val="30"/>
        </w:rPr>
        <w:t xml:space="preserve">1 </w:t>
      </w:r>
      <w:r>
        <w:rPr>
          <w:rFonts w:hint="eastAsia" w:ascii="Arial" w:hAnsi="Arial" w:eastAsia="黑体" w:cs="Arial"/>
          <w:sz w:val="30"/>
          <w:szCs w:val="30"/>
        </w:rPr>
        <w:t>类似项目业绩表格式</w:t>
      </w:r>
      <w:bookmarkEnd w:id="794"/>
      <w:bookmarkEnd w:id="795"/>
      <w:bookmarkEnd w:id="796"/>
    </w:p>
    <w:p>
      <w:pPr>
        <w:pStyle w:val="223"/>
        <w:spacing w:line="360" w:lineRule="auto"/>
        <w:ind w:left="210" w:right="338" w:rightChars="161"/>
        <w:rPr>
          <w:rFonts w:ascii="Times New Roman" w:hAnsi="Times New Roman"/>
          <w:b/>
          <w:bCs/>
          <w:color w:val="auto"/>
        </w:rPr>
      </w:pPr>
      <w:r>
        <w:rPr>
          <w:rFonts w:hint="eastAsia" w:ascii="Times New Roman" w:hAnsi="Times New Roman"/>
          <w:b/>
          <w:bCs/>
          <w:color w:val="auto"/>
        </w:rPr>
        <w:t>注：供应商需提供“类似项目业绩表”（格式自拟）并提供相应的证明材料。供应商不需提供过多的业绩，将只针对“类似项目业绩表”中业绩进行评审。</w:t>
      </w:r>
    </w:p>
    <w:bookmarkEnd w:id="797"/>
    <w:tbl>
      <w:tblPr>
        <w:tblStyle w:val="88"/>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1603"/>
        <w:gridCol w:w="1701"/>
        <w:gridCol w:w="1417"/>
        <w:gridCol w:w="1418"/>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1014" w:type="dxa"/>
            <w:vAlign w:val="center"/>
          </w:tcPr>
          <w:p>
            <w:pPr>
              <w:pStyle w:val="223"/>
              <w:ind w:right="338" w:rightChars="161"/>
              <w:jc w:val="center"/>
              <w:rPr>
                <w:rFonts w:ascii="Times New Roman" w:hAnsi="Times New Roman"/>
                <w:color w:val="auto"/>
              </w:rPr>
            </w:pPr>
            <w:r>
              <w:rPr>
                <w:rFonts w:ascii="Times New Roman" w:hAnsi="Times New Roman"/>
                <w:color w:val="auto"/>
              </w:rPr>
              <w:t>序号</w:t>
            </w:r>
          </w:p>
        </w:tc>
        <w:tc>
          <w:tcPr>
            <w:tcW w:w="1603" w:type="dxa"/>
            <w:vAlign w:val="center"/>
          </w:tcPr>
          <w:p>
            <w:pPr>
              <w:pStyle w:val="223"/>
              <w:ind w:right="338" w:rightChars="161"/>
              <w:jc w:val="center"/>
              <w:rPr>
                <w:rFonts w:ascii="Times New Roman" w:hAnsi="Times New Roman"/>
                <w:color w:val="auto"/>
              </w:rPr>
            </w:pPr>
            <w:r>
              <w:rPr>
                <w:rFonts w:ascii="Times New Roman" w:hAnsi="Times New Roman"/>
                <w:color w:val="auto"/>
              </w:rPr>
              <w:t>业主名称</w:t>
            </w:r>
          </w:p>
        </w:tc>
        <w:tc>
          <w:tcPr>
            <w:tcW w:w="1701" w:type="dxa"/>
            <w:vAlign w:val="center"/>
          </w:tcPr>
          <w:p>
            <w:pPr>
              <w:pStyle w:val="223"/>
              <w:ind w:right="338" w:rightChars="161"/>
              <w:jc w:val="center"/>
              <w:rPr>
                <w:rFonts w:ascii="Times New Roman" w:hAnsi="Times New Roman"/>
                <w:color w:val="auto"/>
              </w:rPr>
            </w:pPr>
            <w:r>
              <w:rPr>
                <w:rFonts w:ascii="Times New Roman" w:hAnsi="Times New Roman"/>
                <w:color w:val="auto"/>
              </w:rPr>
              <w:t>项目名称</w:t>
            </w:r>
          </w:p>
        </w:tc>
        <w:tc>
          <w:tcPr>
            <w:tcW w:w="1417" w:type="dxa"/>
            <w:vAlign w:val="center"/>
          </w:tcPr>
          <w:p>
            <w:pPr>
              <w:pStyle w:val="223"/>
              <w:ind w:right="338" w:rightChars="161"/>
              <w:jc w:val="center"/>
              <w:rPr>
                <w:rFonts w:ascii="Times New Roman" w:hAnsi="Times New Roman"/>
                <w:color w:val="auto"/>
              </w:rPr>
            </w:pPr>
            <w:r>
              <w:rPr>
                <w:rFonts w:ascii="Times New Roman" w:hAnsi="Times New Roman"/>
                <w:color w:val="auto"/>
              </w:rPr>
              <w:t>内容</w:t>
            </w:r>
          </w:p>
        </w:tc>
        <w:tc>
          <w:tcPr>
            <w:tcW w:w="1418" w:type="dxa"/>
            <w:vAlign w:val="center"/>
          </w:tcPr>
          <w:p>
            <w:pPr>
              <w:pStyle w:val="223"/>
              <w:ind w:right="338" w:rightChars="161"/>
              <w:jc w:val="center"/>
              <w:rPr>
                <w:rFonts w:ascii="Times New Roman" w:hAnsi="Times New Roman"/>
                <w:color w:val="auto"/>
              </w:rPr>
            </w:pPr>
            <w:r>
              <w:rPr>
                <w:rFonts w:ascii="Times New Roman" w:hAnsi="Times New Roman"/>
                <w:color w:val="auto"/>
              </w:rPr>
              <w:t>合同总价</w:t>
            </w:r>
          </w:p>
        </w:tc>
        <w:tc>
          <w:tcPr>
            <w:tcW w:w="2517" w:type="dxa"/>
            <w:vAlign w:val="center"/>
          </w:tcPr>
          <w:p>
            <w:pPr>
              <w:pStyle w:val="223"/>
              <w:ind w:left="210" w:right="338" w:rightChars="161"/>
              <w:jc w:val="center"/>
              <w:rPr>
                <w:rFonts w:ascii="Times New Roman" w:hAnsi="Times New Roman"/>
                <w:color w:val="auto"/>
              </w:rPr>
            </w:pPr>
            <w:r>
              <w:rPr>
                <w:rFonts w:ascii="Times New Roman" w:hAnsi="Times New Roman"/>
                <w:color w:val="auto"/>
              </w:rPr>
              <w:t>业主单位联系人</w:t>
            </w:r>
          </w:p>
          <w:p>
            <w:pPr>
              <w:pStyle w:val="223"/>
              <w:ind w:left="210" w:right="338" w:rightChars="161"/>
              <w:jc w:val="center"/>
              <w:rPr>
                <w:rFonts w:ascii="Times New Roman" w:hAnsi="Times New Roman"/>
                <w:color w:val="auto"/>
              </w:rPr>
            </w:pPr>
            <w:r>
              <w:rPr>
                <w:rFonts w:ascii="Times New Roman" w:hAnsi="Times New Roman"/>
                <w:color w:val="auto"/>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1</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2</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3</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4</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5</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6</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7</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8</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9</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10</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014" w:type="dxa"/>
            <w:vAlign w:val="center"/>
          </w:tcPr>
          <w:p>
            <w:pPr>
              <w:pStyle w:val="223"/>
              <w:ind w:left="210" w:right="338" w:rightChars="161"/>
              <w:rPr>
                <w:rFonts w:ascii="Times New Roman" w:hAnsi="Times New Roman"/>
                <w:color w:val="auto"/>
              </w:rPr>
            </w:pPr>
            <w:r>
              <w:rPr>
                <w:rFonts w:ascii="Times New Roman" w:hAnsi="Times New Roman"/>
                <w:color w:val="auto"/>
              </w:rPr>
              <w:t>11</w:t>
            </w:r>
          </w:p>
        </w:tc>
        <w:tc>
          <w:tcPr>
            <w:tcW w:w="1603" w:type="dxa"/>
            <w:vAlign w:val="center"/>
          </w:tcPr>
          <w:p>
            <w:pPr>
              <w:pStyle w:val="223"/>
              <w:ind w:left="210" w:right="338" w:rightChars="161"/>
              <w:rPr>
                <w:rFonts w:ascii="Times New Roman" w:hAnsi="Times New Roman"/>
                <w:color w:val="auto"/>
              </w:rPr>
            </w:pPr>
          </w:p>
        </w:tc>
        <w:tc>
          <w:tcPr>
            <w:tcW w:w="1701" w:type="dxa"/>
            <w:vAlign w:val="center"/>
          </w:tcPr>
          <w:p>
            <w:pPr>
              <w:pStyle w:val="223"/>
              <w:ind w:left="210" w:right="338" w:rightChars="161"/>
              <w:rPr>
                <w:rFonts w:ascii="Times New Roman" w:hAnsi="Times New Roman"/>
                <w:color w:val="auto"/>
              </w:rPr>
            </w:pPr>
          </w:p>
        </w:tc>
        <w:tc>
          <w:tcPr>
            <w:tcW w:w="1417" w:type="dxa"/>
            <w:vAlign w:val="center"/>
          </w:tcPr>
          <w:p>
            <w:pPr>
              <w:pStyle w:val="223"/>
              <w:ind w:left="210" w:right="338" w:rightChars="161"/>
              <w:rPr>
                <w:rFonts w:ascii="Times New Roman" w:hAnsi="Times New Roman"/>
                <w:color w:val="auto"/>
              </w:rPr>
            </w:pPr>
          </w:p>
        </w:tc>
        <w:tc>
          <w:tcPr>
            <w:tcW w:w="1418" w:type="dxa"/>
            <w:vAlign w:val="center"/>
          </w:tcPr>
          <w:p>
            <w:pPr>
              <w:pStyle w:val="223"/>
              <w:ind w:left="210" w:right="338" w:rightChars="161"/>
              <w:rPr>
                <w:rFonts w:ascii="Times New Roman" w:hAnsi="Times New Roman"/>
                <w:color w:val="auto"/>
              </w:rPr>
            </w:pPr>
          </w:p>
        </w:tc>
        <w:tc>
          <w:tcPr>
            <w:tcW w:w="2517" w:type="dxa"/>
            <w:vAlign w:val="center"/>
          </w:tcPr>
          <w:p>
            <w:pPr>
              <w:pStyle w:val="223"/>
              <w:ind w:left="210" w:right="338" w:rightChars="161"/>
              <w:rPr>
                <w:rFonts w:ascii="Times New Roman" w:hAnsi="Times New Roman"/>
                <w:color w:val="auto"/>
              </w:rPr>
            </w:pPr>
          </w:p>
        </w:tc>
      </w:tr>
    </w:tbl>
    <w:p>
      <w:pPr>
        <w:pStyle w:val="223"/>
        <w:spacing w:line="360" w:lineRule="auto"/>
        <w:ind w:left="210" w:right="338" w:rightChars="161"/>
        <w:rPr>
          <w:rFonts w:ascii="Times New Roman" w:hAnsi="Times New Roman"/>
          <w:color w:val="auto"/>
        </w:rPr>
      </w:pPr>
      <w:r>
        <w:rPr>
          <w:rFonts w:ascii="Times New Roman" w:hAnsi="Times New Roman"/>
          <w:color w:val="auto"/>
        </w:rPr>
        <w:t>注： 供应商提供的工作业绩证明以加盖供应商公章的合同复印件（</w:t>
      </w:r>
      <w:r>
        <w:rPr>
          <w:color w:val="auto"/>
        </w:rPr>
        <w:t>包括合同首页、含有项目名称</w:t>
      </w:r>
      <w:r>
        <w:rPr>
          <w:rFonts w:hint="eastAsia"/>
          <w:color w:val="auto"/>
        </w:rPr>
        <w:t>和内容</w:t>
      </w:r>
      <w:r>
        <w:rPr>
          <w:color w:val="auto"/>
        </w:rPr>
        <w:t>的页面以及签章页</w:t>
      </w:r>
      <w:r>
        <w:rPr>
          <w:rFonts w:ascii="Times New Roman" w:hAnsi="Times New Roman"/>
          <w:color w:val="auto"/>
        </w:rPr>
        <w:t>）作为依据，原件随时备查。</w:t>
      </w:r>
    </w:p>
    <w:p>
      <w:pPr>
        <w:pStyle w:val="223"/>
        <w:spacing w:line="360" w:lineRule="auto"/>
        <w:ind w:left="210" w:right="338" w:rightChars="161"/>
        <w:rPr>
          <w:rFonts w:ascii="Times New Roman" w:hAnsi="Times New Roman"/>
          <w:b/>
          <w:color w:val="auto"/>
        </w:rPr>
      </w:pPr>
    </w:p>
    <w:p>
      <w:pPr>
        <w:pStyle w:val="45"/>
        <w:spacing w:line="360" w:lineRule="auto"/>
        <w:ind w:right="338" w:rightChars="161"/>
        <w:rPr>
          <w:rFonts w:ascii="Times New Roman" w:hAnsi="Times New Roman"/>
          <w:sz w:val="24"/>
        </w:rPr>
      </w:pPr>
      <w:r>
        <w:rPr>
          <w:rFonts w:ascii="Times New Roman" w:hAnsi="Times New Roman"/>
          <w:sz w:val="24"/>
        </w:rPr>
        <w:t>供应商授权代表签字：___________________</w:t>
      </w:r>
    </w:p>
    <w:p>
      <w:pPr>
        <w:pStyle w:val="45"/>
        <w:spacing w:line="360" w:lineRule="auto"/>
        <w:ind w:right="338" w:rightChars="161"/>
        <w:rPr>
          <w:rFonts w:ascii="Times New Roman" w:hAnsi="Times New Roman"/>
          <w:sz w:val="24"/>
          <w:u w:val="single"/>
        </w:rPr>
      </w:pPr>
      <w:r>
        <w:rPr>
          <w:rFonts w:ascii="Times New Roman" w:hAnsi="Times New Roman"/>
          <w:sz w:val="24"/>
        </w:rPr>
        <w:t>供应商(盖章)：</w:t>
      </w:r>
      <w:r>
        <w:rPr>
          <w:rFonts w:ascii="Times New Roman" w:hAnsi="Times New Roman"/>
          <w:sz w:val="24"/>
          <w:u w:val="single"/>
        </w:rPr>
        <w:t xml:space="preserve">                  </w:t>
      </w:r>
    </w:p>
    <w:p>
      <w:pPr>
        <w:widowControl/>
        <w:ind w:right="338" w:rightChars="161"/>
        <w:jc w:val="left"/>
        <w:rPr>
          <w:rFonts w:ascii="Arial" w:hAnsi="Arial" w:eastAsia="黑体" w:cs="Arial"/>
          <w:sz w:val="30"/>
          <w:szCs w:val="30"/>
        </w:rPr>
      </w:pPr>
      <w:r>
        <w:rPr>
          <w:rFonts w:ascii="Arial" w:hAnsi="Arial" w:eastAsia="黑体" w:cs="Arial"/>
          <w:sz w:val="30"/>
          <w:szCs w:val="30"/>
        </w:rPr>
        <w:br w:type="page"/>
      </w:r>
    </w:p>
    <w:p>
      <w:pPr>
        <w:snapToGrid w:val="0"/>
        <w:spacing w:line="360" w:lineRule="auto"/>
        <w:ind w:right="338" w:rightChars="161"/>
        <w:jc w:val="center"/>
        <w:rPr>
          <w:rFonts w:ascii="Arial" w:hAnsi="Arial" w:cs="Arial"/>
          <w:bCs/>
          <w:sz w:val="24"/>
        </w:rPr>
      </w:pPr>
      <w:r>
        <w:rPr>
          <w:rFonts w:ascii="Arial" w:hAnsi="Arial" w:eastAsia="黑体" w:cs="Arial"/>
          <w:sz w:val="30"/>
          <w:szCs w:val="30"/>
        </w:rPr>
        <w:t>附件1</w:t>
      </w:r>
      <w:r>
        <w:rPr>
          <w:rFonts w:hint="eastAsia" w:ascii="Arial" w:hAnsi="Arial" w:eastAsia="黑体" w:cs="Arial"/>
          <w:sz w:val="30"/>
          <w:szCs w:val="30"/>
        </w:rPr>
        <w:t>2</w:t>
      </w:r>
      <w:r>
        <w:rPr>
          <w:rFonts w:ascii="Arial" w:hAnsi="Arial" w:eastAsia="黑体" w:cs="Arial"/>
          <w:sz w:val="30"/>
          <w:szCs w:val="30"/>
        </w:rPr>
        <w:t>详细的服务响应方案</w:t>
      </w:r>
    </w:p>
    <w:p>
      <w:pPr>
        <w:spacing w:line="360" w:lineRule="auto"/>
        <w:ind w:right="338" w:rightChars="161"/>
        <w:jc w:val="center"/>
        <w:rPr>
          <w:rFonts w:ascii="Arial" w:hAnsi="Arial" w:eastAsia="黑体" w:cs="Arial"/>
          <w:sz w:val="30"/>
          <w:szCs w:val="30"/>
        </w:rPr>
      </w:pPr>
    </w:p>
    <w:bookmarkEnd w:id="319"/>
    <w:bookmarkEnd w:id="320"/>
    <w:bookmarkEnd w:id="321"/>
    <w:bookmarkEnd w:id="322"/>
    <w:bookmarkEnd w:id="323"/>
    <w:bookmarkEnd w:id="324"/>
    <w:bookmarkEnd w:id="325"/>
    <w:bookmarkEnd w:id="326"/>
    <w:p>
      <w:pPr>
        <w:spacing w:line="360" w:lineRule="auto"/>
        <w:ind w:right="338" w:rightChars="161" w:firstLine="480" w:firstLineChars="200"/>
        <w:rPr>
          <w:rFonts w:ascii="Arial" w:hAnsi="Arial" w:cs="Arial"/>
          <w:sz w:val="24"/>
        </w:rPr>
      </w:pPr>
      <w:bookmarkStart w:id="798" w:name="_技术条款响应表"/>
      <w:bookmarkEnd w:id="798"/>
      <w:bookmarkStart w:id="799" w:name="_附__件"/>
      <w:bookmarkEnd w:id="799"/>
      <w:bookmarkStart w:id="800" w:name="_附__件__目__录"/>
      <w:bookmarkEnd w:id="800"/>
      <w:bookmarkStart w:id="801" w:name="_保证金退付书"/>
      <w:bookmarkEnd w:id="801"/>
      <w:r>
        <w:rPr>
          <w:rFonts w:ascii="Arial" w:hAnsi="Arial" w:cs="Arial"/>
          <w:sz w:val="24"/>
        </w:rPr>
        <w:t>由供应商自行编制，须对《磋商文件》的所有相关技术要求作出详尽响应。</w:t>
      </w:r>
    </w:p>
    <w:p>
      <w:pPr>
        <w:widowControl/>
        <w:ind w:right="338" w:rightChars="161"/>
        <w:jc w:val="left"/>
        <w:rPr>
          <w:sz w:val="24"/>
        </w:rPr>
      </w:pPr>
      <w:r>
        <w:rPr>
          <w:sz w:val="24"/>
        </w:rPr>
        <w:br w:type="page"/>
      </w:r>
    </w:p>
    <w:p>
      <w:pPr>
        <w:adjustRightInd w:val="0"/>
        <w:snapToGrid w:val="0"/>
        <w:spacing w:after="120" w:afterLines="50" w:line="360" w:lineRule="auto"/>
        <w:ind w:left="424" w:leftChars="202" w:right="338" w:rightChars="161"/>
        <w:jc w:val="center"/>
        <w:outlineLvl w:val="1"/>
        <w:rPr>
          <w:rFonts w:ascii="Arial" w:hAnsi="Arial" w:eastAsia="黑体" w:cs="Arial"/>
          <w:sz w:val="30"/>
          <w:szCs w:val="30"/>
          <w:lang w:bidi="ar"/>
        </w:rPr>
      </w:pPr>
      <w:bookmarkStart w:id="802" w:name="_Toc92965938"/>
      <w:r>
        <w:rPr>
          <w:rFonts w:hint="eastAsia" w:ascii="Arial" w:hAnsi="Arial" w:eastAsia="黑体" w:cs="Arial"/>
          <w:sz w:val="30"/>
          <w:szCs w:val="30"/>
          <w:lang w:bidi="ar"/>
        </w:rPr>
        <w:t xml:space="preserve">附件 </w:t>
      </w:r>
      <w:r>
        <w:rPr>
          <w:rFonts w:ascii="Arial" w:hAnsi="Arial" w:eastAsia="黑体" w:cs="Arial"/>
          <w:sz w:val="30"/>
          <w:szCs w:val="30"/>
          <w:lang w:bidi="ar"/>
        </w:rPr>
        <w:t>12</w:t>
      </w:r>
      <w:r>
        <w:rPr>
          <w:rFonts w:hint="eastAsia" w:ascii="Arial" w:hAnsi="Arial" w:eastAsia="黑体" w:cs="Arial"/>
          <w:sz w:val="30"/>
          <w:szCs w:val="30"/>
          <w:lang w:bidi="ar"/>
        </w:rPr>
        <w:t>-1</w:t>
      </w:r>
      <w:r>
        <w:rPr>
          <w:rFonts w:hint="eastAsia" w:ascii="Arial" w:hAnsi="Arial" w:eastAsia="黑体" w:cs="Arial"/>
          <w:sz w:val="30"/>
          <w:szCs w:val="30"/>
          <w:lang w:bidi="ar"/>
        </w:rPr>
        <w:tab/>
      </w:r>
      <w:r>
        <w:rPr>
          <w:rFonts w:hint="eastAsia" w:ascii="Arial" w:hAnsi="Arial" w:eastAsia="黑体" w:cs="Arial"/>
          <w:sz w:val="30"/>
          <w:szCs w:val="30"/>
          <w:lang w:bidi="ar"/>
        </w:rPr>
        <w:t>生产厂家的资格声明（格式）</w:t>
      </w:r>
      <w:bookmarkEnd w:id="802"/>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1、名称及概况：</w:t>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（1）</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生产厂家名称：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（2）</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地址及邮编：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（3）</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成立和注册日期：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（4）</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主管部门：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6" w:rightChars="-3"/>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（5）</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企业性质：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（6）</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法人代表：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（7）</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职员人数：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 一般工人：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 技术人员：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2、（1）关于制造响应货物及服务的设施及其它情况：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0"/>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工厂名称地址</w:t>
            </w:r>
          </w:p>
        </w:tc>
        <w:tc>
          <w:tcPr>
            <w:tcW w:w="2350"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生产的项目</w:t>
            </w:r>
          </w:p>
        </w:tc>
        <w:tc>
          <w:tcPr>
            <w:tcW w:w="235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年生产能力</w:t>
            </w:r>
          </w:p>
        </w:tc>
        <w:tc>
          <w:tcPr>
            <w:tcW w:w="235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c>
          <w:tcPr>
            <w:tcW w:w="2350"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c>
          <w:tcPr>
            <w:tcW w:w="235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c>
          <w:tcPr>
            <w:tcW w:w="235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r>
    </w:tbl>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（2）本制造厂不生产，而须从其它制造厂购买的主要零部件</w:t>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生产厂家名称和地址：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主要零部件名称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3、生产厂家生产此响应货物及服务的历史（年数）：</w:t>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4、易损件供应商的名称和地址：</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1"/>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1" w:type="dxa"/>
          </w:tcPr>
          <w:p>
            <w:pPr>
              <w:widowControl/>
              <w:spacing w:line="360" w:lineRule="auto"/>
              <w:ind w:left="424" w:leftChars="202" w:right="338" w:rightChars="161"/>
              <w:jc w:val="center"/>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部件名称</w:t>
            </w:r>
          </w:p>
        </w:tc>
        <w:tc>
          <w:tcPr>
            <w:tcW w:w="4701" w:type="dxa"/>
          </w:tcPr>
          <w:p>
            <w:pPr>
              <w:widowControl/>
              <w:spacing w:line="360" w:lineRule="auto"/>
              <w:ind w:left="424" w:leftChars="202" w:right="338" w:rightChars="161"/>
              <w:jc w:val="center"/>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0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c>
          <w:tcPr>
            <w:tcW w:w="4701" w:type="dxa"/>
          </w:tcPr>
          <w:p>
            <w:pPr>
              <w:widowControl/>
              <w:spacing w:line="360" w:lineRule="auto"/>
              <w:ind w:left="424" w:leftChars="202" w:right="338" w:rightChars="161"/>
              <w:rPr>
                <w:rFonts w:asciiTheme="minorEastAsia" w:hAnsiTheme="minorEastAsia" w:eastAsiaTheme="minorEastAsia"/>
                <w:spacing w:val="-6"/>
                <w:kern w:val="0"/>
                <w:sz w:val="24"/>
                <w:szCs w:val="20"/>
                <w:lang w:bidi="he-IL"/>
              </w:rPr>
            </w:pPr>
          </w:p>
        </w:tc>
      </w:tr>
    </w:tbl>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5、其他情况：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兹证明上述声明是真实、正确的，并提供了全部能提供的资料和数据，我们同意遵照贵方要求出示有关证明文件。</w:t>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日期：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年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月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日</w:t>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生产厂家名称：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供应商授权代表（签字）：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 电话号：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 xml:space="preserve">生产厂家（盖章）： </w:t>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ab/>
      </w:r>
      <w:r>
        <w:rPr>
          <w:rFonts w:hint="eastAsia" w:asciiTheme="minorEastAsia" w:hAnsiTheme="minorEastAsia" w:eastAsiaTheme="minorEastAsia"/>
          <w:spacing w:val="-6"/>
          <w:kern w:val="0"/>
          <w:sz w:val="24"/>
          <w:szCs w:val="20"/>
          <w:lang w:bidi="he-IL"/>
        </w:rPr>
        <w:t xml:space="preserve"> 传真号： </w:t>
      </w:r>
      <w:r>
        <w:rPr>
          <w:rFonts w:hint="eastAsia" w:asciiTheme="minorEastAsia" w:hAnsiTheme="minorEastAsia" w:eastAsiaTheme="minorEastAsia"/>
          <w:spacing w:val="-6"/>
          <w:kern w:val="0"/>
          <w:sz w:val="24"/>
          <w:szCs w:val="20"/>
          <w:lang w:bidi="he-IL"/>
        </w:rPr>
        <w:tab/>
      </w:r>
    </w:p>
    <w:p>
      <w:pPr>
        <w:widowControl/>
        <w:spacing w:line="360" w:lineRule="auto"/>
        <w:ind w:left="424" w:leftChars="202" w:right="338" w:rightChars="161"/>
        <w:rPr>
          <w:rFonts w:asciiTheme="minorEastAsia" w:hAnsiTheme="minorEastAsia" w:eastAsiaTheme="minorEastAsia"/>
          <w:spacing w:val="-6"/>
          <w:kern w:val="0"/>
          <w:sz w:val="24"/>
          <w:szCs w:val="20"/>
          <w:lang w:bidi="he-IL"/>
        </w:rPr>
      </w:pPr>
      <w:r>
        <w:rPr>
          <w:rFonts w:hint="eastAsia" w:asciiTheme="minorEastAsia" w:hAnsiTheme="minorEastAsia" w:eastAsiaTheme="minorEastAsia"/>
          <w:spacing w:val="-6"/>
          <w:kern w:val="0"/>
          <w:sz w:val="24"/>
          <w:szCs w:val="20"/>
          <w:lang w:bidi="he-IL"/>
        </w:rPr>
        <w:t>注：仅当磋商文件要求必须提供产品生产厂家授权文件，并且供应商自身为生产厂家时须提供。</w:t>
      </w:r>
    </w:p>
    <w:p>
      <w:pPr>
        <w:adjustRightInd w:val="0"/>
        <w:snapToGrid w:val="0"/>
        <w:spacing w:after="120" w:afterLines="50" w:line="360" w:lineRule="auto"/>
        <w:ind w:left="424" w:leftChars="202" w:right="338" w:rightChars="161"/>
        <w:jc w:val="center"/>
        <w:outlineLvl w:val="1"/>
        <w:rPr>
          <w:rFonts w:ascii="Arial" w:hAnsi="Arial" w:eastAsia="黑体" w:cs="Arial"/>
          <w:sz w:val="30"/>
          <w:szCs w:val="30"/>
          <w:lang w:bidi="ar"/>
        </w:rPr>
      </w:pPr>
      <w:bookmarkStart w:id="803" w:name="_Toc92965939"/>
      <w:r>
        <w:rPr>
          <w:rFonts w:hint="eastAsia" w:ascii="Arial" w:hAnsi="Arial" w:eastAsia="黑体" w:cs="Arial"/>
          <w:sz w:val="30"/>
          <w:szCs w:val="30"/>
          <w:lang w:bidi="ar"/>
        </w:rPr>
        <w:t xml:space="preserve">附件 </w:t>
      </w:r>
      <w:r>
        <w:rPr>
          <w:rFonts w:ascii="Arial" w:hAnsi="Arial" w:eastAsia="黑体" w:cs="Arial"/>
          <w:sz w:val="30"/>
          <w:szCs w:val="30"/>
          <w:lang w:bidi="ar"/>
        </w:rPr>
        <w:t>12</w:t>
      </w:r>
      <w:r>
        <w:rPr>
          <w:rFonts w:hint="eastAsia" w:ascii="Arial" w:hAnsi="Arial" w:eastAsia="黑体" w:cs="Arial"/>
          <w:sz w:val="30"/>
          <w:szCs w:val="30"/>
          <w:lang w:bidi="ar"/>
        </w:rPr>
        <w:t>-</w:t>
      </w:r>
      <w:r>
        <w:rPr>
          <w:rFonts w:ascii="Arial" w:hAnsi="Arial" w:eastAsia="黑体" w:cs="Arial"/>
          <w:sz w:val="30"/>
          <w:szCs w:val="30"/>
          <w:lang w:bidi="ar"/>
        </w:rPr>
        <w:t>2</w:t>
      </w:r>
      <w:r>
        <w:rPr>
          <w:rFonts w:hint="eastAsia" w:ascii="Arial" w:hAnsi="Arial" w:eastAsia="黑体" w:cs="Arial"/>
          <w:sz w:val="30"/>
          <w:szCs w:val="30"/>
          <w:lang w:bidi="ar"/>
        </w:rPr>
        <w:tab/>
      </w:r>
      <w:r>
        <w:rPr>
          <w:rFonts w:hint="eastAsia" w:ascii="Arial" w:hAnsi="Arial" w:eastAsia="黑体" w:cs="Arial"/>
          <w:sz w:val="30"/>
          <w:szCs w:val="30"/>
          <w:lang w:bidi="ar"/>
        </w:rPr>
        <w:t>生产厂家的授权书格式（参考）</w:t>
      </w:r>
      <w:bookmarkEnd w:id="803"/>
    </w:p>
    <w:p>
      <w:pPr>
        <w:pStyle w:val="34"/>
        <w:spacing w:before="46"/>
        <w:ind w:left="424" w:leftChars="202" w:right="338" w:rightChars="161"/>
        <w:rPr>
          <w:rFonts w:asciiTheme="minorEastAsia" w:hAnsiTheme="minorEastAsia" w:eastAsiaTheme="minorEastAsia"/>
          <w:b w:val="0"/>
          <w:bCs/>
          <w:i w:val="0"/>
          <w:iCs/>
          <w:spacing w:val="-9"/>
          <w:w w:val="95"/>
          <w:sz w:val="24"/>
        </w:rPr>
      </w:pPr>
      <w:r>
        <w:rPr>
          <w:rFonts w:asciiTheme="minorEastAsia" w:hAnsiTheme="minorEastAsia" w:eastAsiaTheme="minorEastAsia"/>
          <w:b w:val="0"/>
          <w:bCs/>
          <w:i w:val="0"/>
          <w:iCs/>
          <w:spacing w:val="-9"/>
          <w:w w:val="95"/>
          <w:sz w:val="24"/>
        </w:rPr>
        <w:t>致：采购人或采购代理机构</w:t>
      </w:r>
    </w:p>
    <w:p>
      <w:pPr>
        <w:pStyle w:val="34"/>
        <w:spacing w:before="17" w:line="360" w:lineRule="auto"/>
        <w:ind w:left="424" w:leftChars="202" w:right="338" w:rightChars="161"/>
        <w:rPr>
          <w:rFonts w:asciiTheme="minorEastAsia" w:hAnsiTheme="minorEastAsia" w:eastAsiaTheme="minorEastAsia"/>
          <w:b w:val="0"/>
          <w:bCs/>
          <w:i w:val="0"/>
          <w:iCs/>
          <w:sz w:val="24"/>
        </w:rPr>
      </w:pPr>
    </w:p>
    <w:p>
      <w:pPr>
        <w:spacing w:line="360" w:lineRule="auto"/>
        <w:ind w:left="424" w:leftChars="202" w:right="338" w:rightChars="161" w:firstLine="420" w:firstLineChars="200"/>
        <w:rPr>
          <w:rFonts w:asciiTheme="minorEastAsia" w:hAnsiTheme="minorEastAsia" w:eastAsiaTheme="minorEastAsia"/>
          <w:bCs/>
          <w:iCs/>
          <w:sz w:val="24"/>
        </w:rPr>
      </w:pPr>
      <w:r>
        <w:rPr>
          <w:rFonts w:asciiTheme="minorEastAsia" w:hAnsiTheme="minorEastAsia" w:eastAsiaTheme="minorEastAsia"/>
          <w:bCs/>
          <w:iCs/>
          <w:spacing w:val="-9"/>
          <w:w w:val="95"/>
          <w:sz w:val="24"/>
        </w:rPr>
        <w:t>我们</w:t>
      </w:r>
      <w:r>
        <w:rPr>
          <w:rFonts w:asciiTheme="minorEastAsia" w:hAnsiTheme="minorEastAsia" w:eastAsiaTheme="minorEastAsia"/>
          <w:bCs/>
          <w:iCs/>
          <w:w w:val="95"/>
          <w:sz w:val="24"/>
        </w:rPr>
        <w:t>（</w:t>
      </w:r>
      <w:r>
        <w:rPr>
          <w:rFonts w:asciiTheme="minorEastAsia" w:hAnsiTheme="minorEastAsia" w:eastAsiaTheme="minorEastAsia"/>
          <w:bCs/>
          <w:iCs/>
          <w:w w:val="95"/>
          <w:sz w:val="24"/>
          <w:u w:val="single"/>
        </w:rPr>
        <w:t>生产厂家名称</w:t>
      </w:r>
      <w:r>
        <w:rPr>
          <w:rFonts w:asciiTheme="minorEastAsia" w:hAnsiTheme="minorEastAsia" w:eastAsiaTheme="minorEastAsia"/>
          <w:bCs/>
          <w:iCs/>
          <w:spacing w:val="-20"/>
          <w:w w:val="95"/>
          <w:sz w:val="24"/>
        </w:rPr>
        <w:t>）</w:t>
      </w:r>
      <w:r>
        <w:rPr>
          <w:rFonts w:asciiTheme="minorEastAsia" w:hAnsiTheme="minorEastAsia" w:eastAsiaTheme="minorEastAsia"/>
          <w:bCs/>
          <w:iCs/>
          <w:spacing w:val="-9"/>
          <w:w w:val="95"/>
          <w:sz w:val="24"/>
        </w:rPr>
        <w:t>是按</w:t>
      </w:r>
      <w:r>
        <w:rPr>
          <w:rFonts w:asciiTheme="minorEastAsia" w:hAnsiTheme="minorEastAsia" w:eastAsiaTheme="minorEastAsia"/>
          <w:bCs/>
          <w:iCs/>
          <w:w w:val="95"/>
          <w:sz w:val="24"/>
        </w:rPr>
        <w:t>（</w:t>
      </w:r>
      <w:r>
        <w:rPr>
          <w:rFonts w:asciiTheme="minorEastAsia" w:hAnsiTheme="minorEastAsia" w:eastAsiaTheme="minorEastAsia"/>
          <w:bCs/>
          <w:iCs/>
          <w:w w:val="95"/>
          <w:sz w:val="24"/>
          <w:u w:val="single"/>
        </w:rPr>
        <w:t>国家名称</w:t>
      </w:r>
      <w:r>
        <w:rPr>
          <w:rFonts w:asciiTheme="minorEastAsia" w:hAnsiTheme="minorEastAsia" w:eastAsiaTheme="minorEastAsia"/>
          <w:bCs/>
          <w:iCs/>
          <w:spacing w:val="-17"/>
          <w:w w:val="95"/>
          <w:sz w:val="24"/>
        </w:rPr>
        <w:t>）</w:t>
      </w:r>
      <w:r>
        <w:rPr>
          <w:rFonts w:asciiTheme="minorEastAsia" w:hAnsiTheme="minorEastAsia" w:eastAsiaTheme="minorEastAsia"/>
          <w:bCs/>
          <w:iCs/>
          <w:spacing w:val="-5"/>
          <w:w w:val="95"/>
          <w:sz w:val="24"/>
        </w:rPr>
        <w:t>法律成立的一家生产厂家，主要营</w:t>
      </w:r>
      <w:r>
        <w:rPr>
          <w:rFonts w:asciiTheme="minorEastAsia" w:hAnsiTheme="minorEastAsia" w:eastAsiaTheme="minorEastAsia"/>
          <w:bCs/>
          <w:iCs/>
          <w:w w:val="95"/>
          <w:sz w:val="24"/>
        </w:rPr>
        <w:t>业地点设在（</w:t>
      </w:r>
      <w:r>
        <w:rPr>
          <w:rFonts w:asciiTheme="minorEastAsia" w:hAnsiTheme="minorEastAsia" w:eastAsiaTheme="minorEastAsia"/>
          <w:bCs/>
          <w:iCs/>
          <w:w w:val="95"/>
          <w:sz w:val="24"/>
          <w:u w:val="single"/>
        </w:rPr>
        <w:t>生产厂家地址</w:t>
      </w:r>
      <w:r>
        <w:rPr>
          <w:rFonts w:asciiTheme="minorEastAsia" w:hAnsiTheme="minorEastAsia" w:eastAsiaTheme="minorEastAsia"/>
          <w:bCs/>
          <w:iCs/>
          <w:spacing w:val="-118"/>
          <w:w w:val="95"/>
          <w:sz w:val="24"/>
        </w:rPr>
        <w:t>）</w:t>
      </w:r>
      <w:r>
        <w:rPr>
          <w:rFonts w:asciiTheme="minorEastAsia" w:hAnsiTheme="minorEastAsia" w:eastAsiaTheme="minorEastAsia"/>
          <w:bCs/>
          <w:iCs/>
          <w:w w:val="95"/>
          <w:sz w:val="24"/>
        </w:rPr>
        <w:t>。兹指派按（</w:t>
      </w:r>
      <w:r>
        <w:rPr>
          <w:rFonts w:asciiTheme="minorEastAsia" w:hAnsiTheme="minorEastAsia" w:eastAsiaTheme="minorEastAsia"/>
          <w:bCs/>
          <w:iCs/>
          <w:w w:val="95"/>
          <w:sz w:val="24"/>
          <w:u w:val="single"/>
        </w:rPr>
        <w:t>国家名称</w:t>
      </w:r>
      <w:r>
        <w:rPr>
          <w:rFonts w:asciiTheme="minorEastAsia" w:hAnsiTheme="minorEastAsia" w:eastAsiaTheme="minorEastAsia"/>
          <w:bCs/>
          <w:iCs/>
          <w:w w:val="95"/>
          <w:sz w:val="24"/>
        </w:rPr>
        <w:t>）的法律正式成立的，主要</w:t>
      </w:r>
      <w:r>
        <w:rPr>
          <w:rFonts w:asciiTheme="minorEastAsia" w:hAnsiTheme="minorEastAsia" w:eastAsiaTheme="minorEastAsia"/>
          <w:bCs/>
          <w:iCs/>
          <w:spacing w:val="-4"/>
          <w:w w:val="95"/>
          <w:sz w:val="24"/>
        </w:rPr>
        <w:t>营业地点设在</w:t>
      </w:r>
      <w:r>
        <w:rPr>
          <w:rFonts w:asciiTheme="minorEastAsia" w:hAnsiTheme="minorEastAsia" w:eastAsiaTheme="minorEastAsia"/>
          <w:bCs/>
          <w:iCs/>
          <w:w w:val="95"/>
          <w:sz w:val="24"/>
        </w:rPr>
        <w:t>（</w:t>
      </w:r>
      <w:r>
        <w:rPr>
          <w:rFonts w:asciiTheme="minorEastAsia" w:hAnsiTheme="minorEastAsia" w:eastAsiaTheme="minorEastAsia"/>
          <w:bCs/>
          <w:iCs/>
          <w:w w:val="95"/>
          <w:sz w:val="24"/>
          <w:u w:val="single"/>
        </w:rPr>
        <w:t>代理商地址</w:t>
      </w:r>
      <w:r>
        <w:rPr>
          <w:rFonts w:asciiTheme="minorEastAsia" w:hAnsiTheme="minorEastAsia" w:eastAsiaTheme="minorEastAsia"/>
          <w:bCs/>
          <w:iCs/>
          <w:spacing w:val="-22"/>
          <w:w w:val="95"/>
          <w:sz w:val="24"/>
        </w:rPr>
        <w:t>）的</w:t>
      </w:r>
      <w:r>
        <w:rPr>
          <w:rFonts w:asciiTheme="minorEastAsia" w:hAnsiTheme="minorEastAsia" w:eastAsiaTheme="minorEastAsia"/>
          <w:bCs/>
          <w:iCs/>
          <w:w w:val="95"/>
          <w:sz w:val="24"/>
        </w:rPr>
        <w:t>（</w:t>
      </w:r>
      <w:r>
        <w:rPr>
          <w:rFonts w:asciiTheme="minorEastAsia" w:hAnsiTheme="minorEastAsia" w:eastAsiaTheme="minorEastAsia"/>
          <w:bCs/>
          <w:iCs/>
          <w:w w:val="95"/>
          <w:sz w:val="24"/>
          <w:u w:val="single"/>
        </w:rPr>
        <w:t>代理商名称</w:t>
      </w:r>
      <w:r>
        <w:rPr>
          <w:rFonts w:asciiTheme="minorEastAsia" w:hAnsiTheme="minorEastAsia" w:eastAsiaTheme="minorEastAsia"/>
          <w:bCs/>
          <w:iCs/>
          <w:spacing w:val="-22"/>
          <w:w w:val="95"/>
          <w:sz w:val="24"/>
        </w:rPr>
        <w:t>）</w:t>
      </w:r>
      <w:r>
        <w:rPr>
          <w:rFonts w:asciiTheme="minorEastAsia" w:hAnsiTheme="minorEastAsia" w:eastAsiaTheme="minorEastAsia"/>
          <w:bCs/>
          <w:iCs/>
          <w:spacing w:val="-1"/>
          <w:w w:val="95"/>
          <w:sz w:val="24"/>
        </w:rPr>
        <w:t>作为我方真正的合法的代理人进</w:t>
      </w:r>
      <w:r>
        <w:rPr>
          <w:rFonts w:asciiTheme="minorEastAsia" w:hAnsiTheme="minorEastAsia" w:eastAsiaTheme="minorEastAsia"/>
          <w:bCs/>
          <w:iCs/>
          <w:sz w:val="24"/>
        </w:rPr>
        <w:t>行下列有效的活动：</w:t>
      </w:r>
    </w:p>
    <w:p>
      <w:pPr>
        <w:tabs>
          <w:tab w:val="left" w:pos="1879"/>
        </w:tabs>
        <w:autoSpaceDE w:val="0"/>
        <w:autoSpaceDN w:val="0"/>
        <w:spacing w:line="360" w:lineRule="auto"/>
        <w:ind w:left="424" w:leftChars="202" w:right="338" w:rightChars="161" w:firstLine="480" w:firstLineChars="200"/>
        <w:rPr>
          <w:rFonts w:asciiTheme="minorEastAsia" w:hAnsiTheme="minorEastAsia" w:eastAsiaTheme="minorEastAsia"/>
          <w:bCs/>
          <w:iCs/>
          <w:sz w:val="24"/>
        </w:rPr>
      </w:pPr>
      <w:r>
        <w:rPr>
          <w:rFonts w:asciiTheme="minorEastAsia" w:hAnsiTheme="minorEastAsia" w:eastAsiaTheme="minorEastAsia"/>
          <w:bCs/>
          <w:iCs/>
          <w:sz w:val="24"/>
        </w:rPr>
        <w:t>代表我方办理贵方第</w:t>
      </w:r>
      <w:r>
        <w:rPr>
          <w:rFonts w:asciiTheme="minorEastAsia" w:hAnsiTheme="minorEastAsia" w:eastAsiaTheme="minorEastAsia"/>
          <w:bCs/>
          <w:iCs/>
          <w:spacing w:val="1"/>
          <w:sz w:val="24"/>
          <w:u w:val="single"/>
        </w:rPr>
        <w:t xml:space="preserve">        </w:t>
      </w:r>
      <w:r>
        <w:rPr>
          <w:rFonts w:asciiTheme="minorEastAsia" w:hAnsiTheme="minorEastAsia" w:eastAsiaTheme="minorEastAsia"/>
          <w:bCs/>
          <w:iCs/>
          <w:sz w:val="24"/>
          <w:u w:val="single"/>
        </w:rPr>
        <w:t>（采购编号</w:t>
      </w:r>
      <w:r>
        <w:rPr>
          <w:rFonts w:hint="eastAsia" w:asciiTheme="minorEastAsia" w:hAnsiTheme="minorEastAsia" w:eastAsiaTheme="minorEastAsia"/>
          <w:bCs/>
          <w:iCs/>
          <w:sz w:val="24"/>
          <w:u w:val="single"/>
        </w:rPr>
        <w:t>/</w:t>
      </w:r>
      <w:r>
        <w:rPr>
          <w:rFonts w:asciiTheme="minorEastAsia" w:hAnsiTheme="minorEastAsia" w:eastAsiaTheme="minorEastAsia"/>
          <w:bCs/>
          <w:iCs/>
          <w:sz w:val="24"/>
          <w:u w:val="single"/>
        </w:rPr>
        <w:t xml:space="preserve">包号）       </w:t>
      </w:r>
      <w:r>
        <w:rPr>
          <w:rFonts w:asciiTheme="minorEastAsia" w:hAnsiTheme="minorEastAsia" w:eastAsiaTheme="minorEastAsia"/>
          <w:bCs/>
          <w:iCs/>
          <w:sz w:val="24"/>
        </w:rPr>
        <w:t xml:space="preserve"> 号磋商文件要求提</w:t>
      </w:r>
      <w:r>
        <w:rPr>
          <w:rFonts w:asciiTheme="minorEastAsia" w:hAnsiTheme="minorEastAsia" w:eastAsiaTheme="minorEastAsia"/>
          <w:bCs/>
          <w:iCs/>
          <w:spacing w:val="-4"/>
          <w:sz w:val="24"/>
        </w:rPr>
        <w:t>供的由我方制造的</w:t>
      </w:r>
      <w:r>
        <w:rPr>
          <w:rFonts w:asciiTheme="minorEastAsia" w:hAnsiTheme="minorEastAsia" w:eastAsiaTheme="minorEastAsia"/>
          <w:bCs/>
          <w:iCs/>
          <w:spacing w:val="2"/>
          <w:sz w:val="24"/>
          <w:u w:val="single"/>
        </w:rPr>
        <w:t xml:space="preserve">     </w:t>
      </w:r>
      <w:r>
        <w:rPr>
          <w:rFonts w:asciiTheme="minorEastAsia" w:hAnsiTheme="minorEastAsia" w:eastAsiaTheme="minorEastAsia"/>
          <w:bCs/>
          <w:iCs/>
          <w:sz w:val="24"/>
          <w:u w:val="single"/>
        </w:rPr>
        <w:t>（设备名称及型号</w:t>
      </w:r>
      <w:r>
        <w:rPr>
          <w:rFonts w:asciiTheme="minorEastAsia" w:hAnsiTheme="minorEastAsia" w:eastAsiaTheme="minorEastAsia"/>
          <w:bCs/>
          <w:iCs/>
          <w:spacing w:val="-29"/>
          <w:sz w:val="24"/>
          <w:u w:val="single"/>
        </w:rPr>
        <w:t>）</w:t>
      </w:r>
      <w:r>
        <w:rPr>
          <w:rFonts w:asciiTheme="minorEastAsia" w:hAnsiTheme="minorEastAsia" w:eastAsiaTheme="minorEastAsia"/>
          <w:bCs/>
          <w:iCs/>
          <w:spacing w:val="-3"/>
          <w:sz w:val="24"/>
        </w:rPr>
        <w:t>的货物及服务的有关事宜，并对我方</w:t>
      </w:r>
      <w:r>
        <w:rPr>
          <w:rFonts w:asciiTheme="minorEastAsia" w:hAnsiTheme="minorEastAsia" w:eastAsiaTheme="minorEastAsia"/>
          <w:bCs/>
          <w:iCs/>
          <w:spacing w:val="-4"/>
          <w:sz w:val="24"/>
        </w:rPr>
        <w:t>具有约束力。</w:t>
      </w:r>
    </w:p>
    <w:p>
      <w:pPr>
        <w:tabs>
          <w:tab w:val="left" w:pos="1970"/>
        </w:tabs>
        <w:autoSpaceDE w:val="0"/>
        <w:autoSpaceDN w:val="0"/>
        <w:spacing w:line="360" w:lineRule="auto"/>
        <w:ind w:left="424" w:leftChars="202" w:right="338" w:rightChars="161" w:firstLine="452" w:firstLineChars="200"/>
        <w:rPr>
          <w:rFonts w:asciiTheme="minorEastAsia" w:hAnsiTheme="minorEastAsia" w:eastAsiaTheme="minorEastAsia"/>
          <w:bCs/>
          <w:iCs/>
          <w:sz w:val="24"/>
        </w:rPr>
      </w:pPr>
      <w:r>
        <w:rPr>
          <w:rFonts w:asciiTheme="minorEastAsia" w:hAnsiTheme="minorEastAsia" w:eastAsiaTheme="minorEastAsia"/>
          <w:bCs/>
          <w:iCs/>
          <w:spacing w:val="-7"/>
          <w:sz w:val="24"/>
        </w:rPr>
        <w:t>作为生产厂家，我方保证以本项目合作者来约束自己，并对该项目共</w:t>
      </w:r>
      <w:r>
        <w:rPr>
          <w:rFonts w:asciiTheme="minorEastAsia" w:hAnsiTheme="minorEastAsia" w:eastAsiaTheme="minorEastAsia"/>
          <w:bCs/>
          <w:iCs/>
          <w:sz w:val="24"/>
        </w:rPr>
        <w:t>同和分别承担磋商文件中所规定的义务。</w:t>
      </w:r>
    </w:p>
    <w:p>
      <w:pPr>
        <w:tabs>
          <w:tab w:val="left" w:pos="1977"/>
        </w:tabs>
        <w:autoSpaceDE w:val="0"/>
        <w:autoSpaceDN w:val="0"/>
        <w:spacing w:line="360" w:lineRule="auto"/>
        <w:ind w:left="424" w:leftChars="202" w:right="338" w:rightChars="161" w:firstLine="480" w:firstLineChars="200"/>
        <w:rPr>
          <w:rFonts w:asciiTheme="minorEastAsia" w:hAnsiTheme="minorEastAsia" w:eastAsiaTheme="minorEastAsia"/>
          <w:bCs/>
          <w:iCs/>
          <w:sz w:val="24"/>
        </w:rPr>
      </w:pPr>
      <w:r>
        <w:rPr>
          <w:rFonts w:asciiTheme="minorEastAsia" w:hAnsiTheme="minorEastAsia" w:eastAsiaTheme="minorEastAsia"/>
          <w:bCs/>
          <w:iCs/>
          <w:sz w:val="24"/>
        </w:rPr>
        <w:t>我方兹授予</w:t>
      </w:r>
      <w:r>
        <w:rPr>
          <w:rFonts w:asciiTheme="minorEastAsia" w:hAnsiTheme="minorEastAsia" w:eastAsiaTheme="minorEastAsia"/>
          <w:bCs/>
          <w:iCs/>
          <w:spacing w:val="17"/>
          <w:sz w:val="24"/>
          <w:u w:val="single"/>
        </w:rPr>
        <w:t xml:space="preserve">   </w:t>
      </w:r>
      <w:r>
        <w:rPr>
          <w:rFonts w:asciiTheme="minorEastAsia" w:hAnsiTheme="minorEastAsia" w:eastAsiaTheme="minorEastAsia"/>
          <w:bCs/>
          <w:iCs/>
          <w:sz w:val="24"/>
          <w:u w:val="single"/>
        </w:rPr>
        <w:t xml:space="preserve">（代理商名称）   </w:t>
      </w:r>
      <w:r>
        <w:rPr>
          <w:rFonts w:asciiTheme="minorEastAsia" w:hAnsiTheme="minorEastAsia" w:eastAsiaTheme="minorEastAsia"/>
          <w:bCs/>
          <w:iCs/>
          <w:spacing w:val="-2"/>
          <w:sz w:val="24"/>
        </w:rPr>
        <w:t xml:space="preserve"> 作为我方的被授权人，全权办理和</w:t>
      </w:r>
      <w:r>
        <w:rPr>
          <w:rFonts w:asciiTheme="minorEastAsia" w:hAnsiTheme="minorEastAsia" w:eastAsiaTheme="minorEastAsia"/>
          <w:bCs/>
          <w:iCs/>
          <w:spacing w:val="11"/>
          <w:sz w:val="24"/>
        </w:rPr>
        <w:t>履行上述我方为完成本项目所必须的事宜，具有替换或撤销的全权。兹确认</w:t>
      </w:r>
      <w:r>
        <w:rPr>
          <w:rFonts w:asciiTheme="minorEastAsia" w:hAnsiTheme="minorEastAsia" w:eastAsiaTheme="minorEastAsia"/>
          <w:bCs/>
          <w:iCs/>
          <w:sz w:val="24"/>
        </w:rPr>
        <w:t>（代理商名称）</w:t>
      </w:r>
      <w:r>
        <w:rPr>
          <w:rFonts w:asciiTheme="minorEastAsia" w:hAnsiTheme="minorEastAsia" w:eastAsiaTheme="minorEastAsia"/>
          <w:bCs/>
          <w:iCs/>
          <w:sz w:val="24"/>
          <w:u w:val="single"/>
        </w:rPr>
        <w:t xml:space="preserve"> </w:t>
      </w:r>
      <w:r>
        <w:rPr>
          <w:rFonts w:asciiTheme="minorEastAsia" w:hAnsiTheme="minorEastAsia" w:eastAsiaTheme="minorEastAsia"/>
          <w:bCs/>
          <w:iCs/>
          <w:sz w:val="24"/>
          <w:u w:val="single"/>
        </w:rPr>
        <w:tab/>
      </w:r>
      <w:r>
        <w:rPr>
          <w:rFonts w:asciiTheme="minorEastAsia" w:hAnsiTheme="minorEastAsia" w:eastAsiaTheme="minorEastAsia"/>
          <w:bCs/>
          <w:iCs/>
          <w:sz w:val="24"/>
        </w:rPr>
        <w:t>或其正式授权代表依此合法地办理一切事宜。</w:t>
      </w:r>
    </w:p>
    <w:p>
      <w:pPr>
        <w:pStyle w:val="34"/>
        <w:tabs>
          <w:tab w:val="left" w:pos="2838"/>
        </w:tabs>
        <w:spacing w:line="360" w:lineRule="auto"/>
        <w:ind w:left="424" w:leftChars="202" w:right="338" w:rightChars="161" w:firstLine="480" w:firstLineChars="200"/>
        <w:rPr>
          <w:rFonts w:asciiTheme="minorEastAsia" w:hAnsiTheme="minorEastAsia" w:eastAsiaTheme="minorEastAsia"/>
          <w:b w:val="0"/>
          <w:i w:val="0"/>
          <w:sz w:val="24"/>
        </w:rPr>
      </w:pPr>
      <w:r>
        <w:rPr>
          <w:rFonts w:asciiTheme="minorEastAsia" w:hAnsiTheme="minorEastAsia" w:eastAsiaTheme="minorEastAsia"/>
          <w:b w:val="0"/>
          <w:i w:val="0"/>
          <w:sz w:val="24"/>
        </w:rPr>
        <w:t>我方于</w:t>
      </w:r>
      <w:r>
        <w:rPr>
          <w:rFonts w:asciiTheme="minorEastAsia" w:hAnsiTheme="minorEastAsia" w:eastAsiaTheme="minorEastAsia"/>
          <w:b w:val="0"/>
          <w:i w:val="0"/>
          <w:sz w:val="24"/>
          <w:u w:val="single"/>
        </w:rPr>
        <w:t xml:space="preserve"> </w:t>
      </w:r>
      <w:r>
        <w:rPr>
          <w:rFonts w:asciiTheme="minorEastAsia" w:hAnsiTheme="minorEastAsia" w:eastAsiaTheme="minorEastAsia"/>
          <w:b w:val="0"/>
          <w:i w:val="0"/>
          <w:sz w:val="24"/>
          <w:u w:val="single"/>
        </w:rPr>
        <w:tab/>
      </w:r>
      <w:r>
        <w:rPr>
          <w:rFonts w:asciiTheme="minorEastAsia" w:hAnsiTheme="minorEastAsia" w:eastAsiaTheme="minorEastAsia"/>
          <w:b w:val="0"/>
          <w:i w:val="0"/>
          <w:sz w:val="24"/>
        </w:rPr>
        <w:t>年</w:t>
      </w:r>
      <w:r>
        <w:rPr>
          <w:rFonts w:asciiTheme="minorEastAsia" w:hAnsiTheme="minorEastAsia" w:eastAsiaTheme="minorEastAsia"/>
          <w:b w:val="0"/>
          <w:i w:val="0"/>
          <w:sz w:val="24"/>
          <w:u w:val="single"/>
        </w:rPr>
        <w:t xml:space="preserve"> </w:t>
      </w:r>
      <w:r>
        <w:rPr>
          <w:rFonts w:asciiTheme="minorEastAsia" w:hAnsiTheme="minorEastAsia" w:eastAsiaTheme="minorEastAsia"/>
          <w:b w:val="0"/>
          <w:i w:val="0"/>
          <w:sz w:val="24"/>
          <w:u w:val="single"/>
        </w:rPr>
        <w:tab/>
      </w:r>
      <w:r>
        <w:rPr>
          <w:rFonts w:asciiTheme="minorEastAsia" w:hAnsiTheme="minorEastAsia" w:eastAsiaTheme="minorEastAsia"/>
          <w:b w:val="0"/>
          <w:i w:val="0"/>
          <w:sz w:val="24"/>
        </w:rPr>
        <w:t>月</w:t>
      </w:r>
      <w:r>
        <w:rPr>
          <w:rFonts w:asciiTheme="minorEastAsia" w:hAnsiTheme="minorEastAsia" w:eastAsiaTheme="minorEastAsia"/>
          <w:b w:val="0"/>
          <w:i w:val="0"/>
          <w:sz w:val="24"/>
          <w:u w:val="single"/>
        </w:rPr>
        <w:t xml:space="preserve"> </w:t>
      </w:r>
      <w:r>
        <w:rPr>
          <w:rFonts w:asciiTheme="minorEastAsia" w:hAnsiTheme="minorEastAsia" w:eastAsiaTheme="minorEastAsia"/>
          <w:b w:val="0"/>
          <w:i w:val="0"/>
          <w:sz w:val="24"/>
          <w:u w:val="single"/>
        </w:rPr>
        <w:tab/>
      </w:r>
      <w:r>
        <w:rPr>
          <w:rFonts w:asciiTheme="minorEastAsia" w:hAnsiTheme="minorEastAsia" w:eastAsiaTheme="minorEastAsia"/>
          <w:b w:val="0"/>
          <w:i w:val="0"/>
          <w:sz w:val="24"/>
        </w:rPr>
        <w:t>日签署本文件。</w:t>
      </w:r>
    </w:p>
    <w:p>
      <w:pPr>
        <w:pStyle w:val="34"/>
        <w:spacing w:before="12" w:line="360" w:lineRule="auto"/>
        <w:ind w:left="424" w:leftChars="202" w:right="338" w:rightChars="161" w:firstLine="480" w:firstLineChars="200"/>
        <w:rPr>
          <w:rFonts w:asciiTheme="minorEastAsia" w:hAnsiTheme="minorEastAsia" w:eastAsiaTheme="minorEastAsia"/>
          <w:b w:val="0"/>
          <w:bCs/>
          <w:i w:val="0"/>
          <w:iCs/>
          <w:sz w:val="24"/>
        </w:rPr>
      </w:pPr>
    </w:p>
    <w:p>
      <w:pPr>
        <w:pStyle w:val="34"/>
        <w:tabs>
          <w:tab w:val="left" w:pos="5838"/>
        </w:tabs>
        <w:spacing w:before="1" w:line="360" w:lineRule="auto"/>
        <w:ind w:left="424" w:leftChars="202" w:right="338" w:rightChars="161" w:firstLine="480" w:firstLineChars="200"/>
        <w:rPr>
          <w:rFonts w:asciiTheme="minorEastAsia" w:hAnsiTheme="minorEastAsia" w:eastAsiaTheme="minorEastAsia"/>
          <w:b w:val="0"/>
          <w:bCs/>
          <w:i w:val="0"/>
          <w:iCs/>
          <w:sz w:val="24"/>
        </w:rPr>
      </w:pPr>
      <w:r>
        <w:rPr>
          <w:rFonts w:asciiTheme="minorEastAsia" w:hAnsiTheme="minorEastAsia" w:eastAsiaTheme="minorEastAsia"/>
          <w:b w:val="0"/>
          <w:bCs/>
          <w:i w:val="0"/>
          <w:iCs/>
          <w:sz w:val="24"/>
        </w:rPr>
        <w:t>生产厂家名称（签署或盖章）</w:t>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u w:val="single"/>
        </w:rPr>
        <w:tab/>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rPr>
        <w:t>签字人职务和部门</w:t>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u w:val="single"/>
        </w:rPr>
        <w:tab/>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rPr>
        <w:t>签字人姓名</w:t>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u w:val="single"/>
        </w:rPr>
        <w:tab/>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rPr>
        <w:t>签字人（签字）</w:t>
      </w:r>
      <w:r>
        <w:rPr>
          <w:rFonts w:asciiTheme="minorEastAsia" w:hAnsiTheme="minorEastAsia" w:eastAsiaTheme="minorEastAsia"/>
          <w:b w:val="0"/>
          <w:bCs/>
          <w:i w:val="0"/>
          <w:iCs/>
          <w:sz w:val="24"/>
          <w:u w:val="single"/>
        </w:rPr>
        <w:t xml:space="preserve"> </w:t>
      </w:r>
      <w:r>
        <w:rPr>
          <w:rFonts w:asciiTheme="minorEastAsia" w:hAnsiTheme="minorEastAsia" w:eastAsiaTheme="minorEastAsia"/>
          <w:b w:val="0"/>
          <w:bCs/>
          <w:i w:val="0"/>
          <w:iCs/>
          <w:sz w:val="24"/>
          <w:u w:val="single"/>
        </w:rPr>
        <w:tab/>
      </w:r>
    </w:p>
    <w:p>
      <w:pPr>
        <w:pStyle w:val="34"/>
        <w:spacing w:line="360" w:lineRule="auto"/>
        <w:ind w:left="424" w:leftChars="202" w:right="338" w:rightChars="161"/>
        <w:rPr>
          <w:rFonts w:asciiTheme="minorEastAsia" w:hAnsiTheme="minorEastAsia" w:eastAsiaTheme="minorEastAsia"/>
          <w:b w:val="0"/>
          <w:bCs/>
          <w:i w:val="0"/>
          <w:iCs/>
          <w:sz w:val="24"/>
        </w:rPr>
      </w:pPr>
    </w:p>
    <w:p>
      <w:pPr>
        <w:pStyle w:val="34"/>
        <w:spacing w:line="360" w:lineRule="auto"/>
        <w:ind w:left="424" w:leftChars="202" w:right="338" w:rightChars="161"/>
        <w:rPr>
          <w:rFonts w:asciiTheme="minorEastAsia" w:hAnsiTheme="minorEastAsia" w:eastAsiaTheme="minorEastAsia"/>
          <w:b w:val="0"/>
          <w:bCs/>
          <w:i w:val="0"/>
          <w:iCs/>
          <w:sz w:val="24"/>
        </w:rPr>
      </w:pPr>
    </w:p>
    <w:p>
      <w:pPr>
        <w:pStyle w:val="34"/>
        <w:spacing w:line="360" w:lineRule="auto"/>
        <w:ind w:left="424" w:leftChars="202" w:right="338" w:rightChars="161"/>
        <w:rPr>
          <w:rFonts w:asciiTheme="minorEastAsia" w:hAnsiTheme="minorEastAsia" w:eastAsiaTheme="minorEastAsia"/>
          <w:b w:val="0"/>
          <w:bCs/>
          <w:i w:val="0"/>
          <w:iCs/>
          <w:sz w:val="24"/>
        </w:rPr>
      </w:pPr>
      <w:r>
        <w:rPr>
          <w:rFonts w:hint="eastAsia" w:cs="宋体" w:asciiTheme="minorEastAsia" w:hAnsiTheme="minorEastAsia" w:eastAsiaTheme="minorEastAsia"/>
          <w:b w:val="0"/>
          <w:bCs/>
          <w:i w:val="0"/>
          <w:iCs/>
          <w:sz w:val="24"/>
        </w:rPr>
        <w:t>注：</w:t>
      </w:r>
      <w:r>
        <w:rPr>
          <w:rFonts w:hint="eastAsia" w:asciiTheme="minorEastAsia" w:hAnsiTheme="minorEastAsia" w:eastAsiaTheme="minorEastAsia"/>
          <w:b w:val="0"/>
          <w:bCs/>
          <w:i w:val="0"/>
          <w:iCs/>
          <w:sz w:val="24"/>
        </w:rPr>
        <w:t>1</w:t>
      </w:r>
      <w:r>
        <w:rPr>
          <w:rFonts w:hint="eastAsia" w:cs="宋体" w:asciiTheme="minorEastAsia" w:hAnsiTheme="minorEastAsia" w:eastAsiaTheme="minorEastAsia"/>
          <w:b w:val="0"/>
          <w:bCs/>
          <w:i w:val="0"/>
          <w:iCs/>
          <w:sz w:val="24"/>
        </w:rPr>
        <w:t>、仅当磋商文件要求必须提供产品生产厂家授权文件时须提供。</w:t>
      </w:r>
    </w:p>
    <w:p>
      <w:pPr>
        <w:pStyle w:val="34"/>
        <w:spacing w:line="360" w:lineRule="auto"/>
        <w:ind w:left="424" w:leftChars="202" w:right="338" w:rightChars="161"/>
        <w:rPr>
          <w:rFonts w:cs="宋体" w:asciiTheme="minorEastAsia" w:hAnsiTheme="minorEastAsia" w:eastAsiaTheme="minorEastAsia"/>
          <w:b w:val="0"/>
          <w:bCs/>
          <w:i w:val="0"/>
          <w:iCs/>
          <w:sz w:val="24"/>
        </w:rPr>
      </w:pPr>
      <w:r>
        <w:rPr>
          <w:rFonts w:hint="eastAsia" w:asciiTheme="minorEastAsia" w:hAnsiTheme="minorEastAsia" w:eastAsiaTheme="minorEastAsia"/>
          <w:b w:val="0"/>
          <w:bCs/>
          <w:i w:val="0"/>
          <w:iCs/>
          <w:sz w:val="24"/>
        </w:rPr>
        <w:t>2</w:t>
      </w:r>
      <w:r>
        <w:rPr>
          <w:rFonts w:hint="eastAsia" w:cs="宋体" w:asciiTheme="minorEastAsia" w:hAnsiTheme="minorEastAsia" w:eastAsiaTheme="minorEastAsia"/>
          <w:b w:val="0"/>
          <w:bCs/>
          <w:i w:val="0"/>
          <w:iCs/>
          <w:sz w:val="24"/>
        </w:rPr>
        <w:t>、若生产厂有自己的标准格式，可以采用该生产厂的格式。</w:t>
      </w:r>
    </w:p>
    <w:p>
      <w:pPr>
        <w:widowControl/>
        <w:ind w:left="424" w:leftChars="202"/>
        <w:jc w:val="left"/>
        <w:rPr>
          <w:rFonts w:cs="宋体" w:asciiTheme="minorEastAsia" w:hAnsiTheme="minorEastAsia" w:eastAsiaTheme="minorEastAsia"/>
          <w:bCs/>
          <w:iCs/>
          <w:sz w:val="24"/>
        </w:rPr>
      </w:pPr>
      <w:r>
        <w:rPr>
          <w:rFonts w:cs="宋体" w:asciiTheme="minorEastAsia" w:hAnsiTheme="minorEastAsia" w:eastAsiaTheme="minorEastAsia"/>
          <w:b/>
          <w:bCs/>
          <w:i/>
          <w:iCs/>
          <w:sz w:val="24"/>
        </w:rPr>
        <w:br w:type="page"/>
      </w:r>
    </w:p>
    <w:p>
      <w:pPr>
        <w:adjustRightInd w:val="0"/>
        <w:snapToGrid w:val="0"/>
        <w:spacing w:after="120" w:afterLines="50" w:line="360" w:lineRule="auto"/>
        <w:ind w:left="424" w:leftChars="202" w:right="338" w:rightChars="161"/>
        <w:jc w:val="center"/>
        <w:outlineLvl w:val="1"/>
        <w:rPr>
          <w:rFonts w:ascii="Arial" w:hAnsi="Arial" w:eastAsia="黑体" w:cs="Arial"/>
          <w:sz w:val="30"/>
          <w:szCs w:val="30"/>
          <w:lang w:bidi="ar"/>
        </w:rPr>
      </w:pPr>
      <w:bookmarkStart w:id="804" w:name="_Toc92965940"/>
      <w:r>
        <w:rPr>
          <w:rFonts w:hint="eastAsia" w:ascii="Arial" w:hAnsi="Arial" w:eastAsia="黑体" w:cs="Arial"/>
          <w:sz w:val="30"/>
          <w:szCs w:val="30"/>
          <w:lang w:bidi="ar"/>
        </w:rPr>
        <w:t xml:space="preserve">附件 </w:t>
      </w:r>
      <w:r>
        <w:rPr>
          <w:rFonts w:ascii="Arial" w:hAnsi="Arial" w:eastAsia="黑体" w:cs="Arial"/>
          <w:sz w:val="30"/>
          <w:szCs w:val="30"/>
          <w:lang w:bidi="ar"/>
        </w:rPr>
        <w:t>12</w:t>
      </w:r>
      <w:r>
        <w:rPr>
          <w:rFonts w:hint="eastAsia" w:ascii="Arial" w:hAnsi="Arial" w:eastAsia="黑体" w:cs="Arial"/>
          <w:sz w:val="30"/>
          <w:szCs w:val="30"/>
          <w:lang w:bidi="ar"/>
        </w:rPr>
        <w:t>-</w:t>
      </w:r>
      <w:r>
        <w:rPr>
          <w:rFonts w:ascii="Arial" w:hAnsi="Arial" w:eastAsia="黑体" w:cs="Arial"/>
          <w:sz w:val="30"/>
          <w:szCs w:val="30"/>
          <w:lang w:bidi="ar"/>
        </w:rPr>
        <w:t>3</w:t>
      </w:r>
      <w:r>
        <w:rPr>
          <w:rFonts w:hint="eastAsia" w:ascii="Arial" w:hAnsi="Arial" w:eastAsia="黑体" w:cs="Arial"/>
          <w:sz w:val="30"/>
          <w:szCs w:val="30"/>
          <w:lang w:bidi="ar"/>
        </w:rPr>
        <w:t>产品供货渠道说明一览表</w:t>
      </w:r>
      <w:bookmarkEnd w:id="804"/>
    </w:p>
    <w:p>
      <w:pPr>
        <w:pStyle w:val="6"/>
        <w:spacing w:line="360" w:lineRule="auto"/>
        <w:ind w:left="424" w:leftChars="202" w:right="338" w:rightChars="161" w:firstLine="0"/>
        <w:rPr>
          <w:rFonts w:cs="Arial" w:asciiTheme="minorEastAsia" w:hAnsiTheme="minorEastAsia" w:eastAsiaTheme="minorEastAsia"/>
          <w:sz w:val="24"/>
        </w:rPr>
      </w:pPr>
      <w:r>
        <w:rPr>
          <w:rFonts w:cs="Arial" w:asciiTheme="minorEastAsia" w:hAnsiTheme="minorEastAsia" w:eastAsiaTheme="minorEastAsia"/>
          <w:sz w:val="24"/>
        </w:rPr>
        <w:t>项目名称：</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 xml:space="preserve">                                                招标编号：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843"/>
        <w:gridCol w:w="1134"/>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6"/>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序号</w:t>
            </w:r>
          </w:p>
        </w:tc>
        <w:tc>
          <w:tcPr>
            <w:tcW w:w="1701" w:type="dxa"/>
            <w:vAlign w:val="center"/>
          </w:tcPr>
          <w:p>
            <w:pPr>
              <w:pStyle w:val="6"/>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产品名称</w:t>
            </w:r>
          </w:p>
        </w:tc>
        <w:tc>
          <w:tcPr>
            <w:tcW w:w="1843" w:type="dxa"/>
            <w:vAlign w:val="center"/>
          </w:tcPr>
          <w:p>
            <w:pPr>
              <w:pStyle w:val="6"/>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生产厂家或品牌</w:t>
            </w:r>
          </w:p>
        </w:tc>
        <w:tc>
          <w:tcPr>
            <w:tcW w:w="1134" w:type="dxa"/>
            <w:vAlign w:val="center"/>
          </w:tcPr>
          <w:p>
            <w:pPr>
              <w:pStyle w:val="6"/>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产地</w:t>
            </w:r>
          </w:p>
        </w:tc>
        <w:tc>
          <w:tcPr>
            <w:tcW w:w="3680" w:type="dxa"/>
            <w:vAlign w:val="center"/>
          </w:tcPr>
          <w:p>
            <w:pPr>
              <w:pStyle w:val="6"/>
              <w:ind w:right="338" w:rightChars="161"/>
              <w:jc w:val="center"/>
              <w:rPr>
                <w:rFonts w:cs="Arial" w:asciiTheme="minorEastAsia" w:hAnsiTheme="minorEastAsia" w:eastAsiaTheme="minorEastAsia"/>
                <w:sz w:val="24"/>
              </w:rPr>
            </w:pPr>
            <w:r>
              <w:rPr>
                <w:rFonts w:hint="eastAsia" w:cs="Arial" w:asciiTheme="minorEastAsia" w:hAnsiTheme="minorEastAsia" w:eastAsiaTheme="minorEastAsia"/>
                <w:sz w:val="24"/>
              </w:rPr>
              <w:t>供货渠道说明</w:t>
            </w:r>
          </w:p>
          <w:p>
            <w:pPr>
              <w:pStyle w:val="6"/>
              <w:ind w:right="338" w:rightChars="161"/>
              <w:jc w:val="center"/>
              <w:rPr>
                <w:rFonts w:cs="Arial" w:asciiTheme="minorEastAsia" w:hAnsiTheme="minorEastAsia" w:eastAsiaTheme="minorEastAsia"/>
                <w:sz w:val="24"/>
              </w:rPr>
            </w:pPr>
            <w:r>
              <w:rPr>
                <w:rFonts w:hint="eastAsia" w:cs="Arial" w:asciiTheme="minorEastAsia" w:hAnsiTheme="minorEastAsia" w:eastAsiaTheme="minorEastAsia"/>
                <w:sz w:val="24"/>
              </w:rPr>
              <w:t>（如自产证明、直销证明、供货代理证明或其他</w:t>
            </w:r>
          </w:p>
          <w:p>
            <w:pPr>
              <w:pStyle w:val="6"/>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pStyle w:val="6"/>
              <w:spacing w:line="360" w:lineRule="auto"/>
              <w:ind w:right="338" w:rightChars="161" w:firstLine="0"/>
              <w:rPr>
                <w:rFonts w:cs="Arial" w:asciiTheme="minorEastAsia" w:hAnsiTheme="minorEastAsia" w:eastAsiaTheme="minorEastAsia"/>
                <w:sz w:val="24"/>
              </w:rPr>
            </w:pPr>
          </w:p>
        </w:tc>
        <w:tc>
          <w:tcPr>
            <w:tcW w:w="1701" w:type="dxa"/>
          </w:tcPr>
          <w:p>
            <w:pPr>
              <w:pStyle w:val="6"/>
              <w:spacing w:line="360" w:lineRule="auto"/>
              <w:ind w:right="338" w:rightChars="161" w:firstLine="0"/>
              <w:rPr>
                <w:rFonts w:cs="Arial" w:asciiTheme="minorEastAsia" w:hAnsiTheme="minorEastAsia" w:eastAsiaTheme="minorEastAsia"/>
                <w:sz w:val="24"/>
              </w:rPr>
            </w:pPr>
          </w:p>
        </w:tc>
        <w:tc>
          <w:tcPr>
            <w:tcW w:w="1843" w:type="dxa"/>
          </w:tcPr>
          <w:p>
            <w:pPr>
              <w:pStyle w:val="6"/>
              <w:spacing w:line="360" w:lineRule="auto"/>
              <w:ind w:right="338" w:rightChars="161" w:firstLine="0"/>
              <w:rPr>
                <w:rFonts w:cs="Arial" w:asciiTheme="minorEastAsia" w:hAnsiTheme="minorEastAsia" w:eastAsiaTheme="minorEastAsia"/>
                <w:sz w:val="24"/>
              </w:rPr>
            </w:pPr>
          </w:p>
        </w:tc>
        <w:tc>
          <w:tcPr>
            <w:tcW w:w="1134" w:type="dxa"/>
          </w:tcPr>
          <w:p>
            <w:pPr>
              <w:pStyle w:val="6"/>
              <w:spacing w:line="360" w:lineRule="auto"/>
              <w:ind w:right="338" w:rightChars="161" w:firstLine="0"/>
              <w:rPr>
                <w:rFonts w:cs="Arial" w:asciiTheme="minorEastAsia" w:hAnsiTheme="minorEastAsia" w:eastAsiaTheme="minorEastAsia"/>
                <w:sz w:val="24"/>
              </w:rPr>
            </w:pPr>
          </w:p>
        </w:tc>
        <w:tc>
          <w:tcPr>
            <w:tcW w:w="3680" w:type="dxa"/>
          </w:tcPr>
          <w:p>
            <w:pPr>
              <w:pStyle w:val="6"/>
              <w:spacing w:line="360" w:lineRule="auto"/>
              <w:ind w:right="338" w:rightChars="161" w:firstLine="0"/>
              <w:rPr>
                <w:rFonts w:cs="Arial" w:asciiTheme="minorEastAsia" w:hAnsiTheme="minorEastAsia" w:eastAsiaTheme="minorEastAsia"/>
                <w:sz w:val="24"/>
              </w:rPr>
            </w:pPr>
          </w:p>
        </w:tc>
      </w:tr>
    </w:tbl>
    <w:p>
      <w:pPr>
        <w:pStyle w:val="6"/>
        <w:spacing w:line="360" w:lineRule="auto"/>
        <w:ind w:right="338" w:rightChars="161"/>
        <w:rPr>
          <w:rFonts w:cs="Arial" w:asciiTheme="minorEastAsia" w:hAnsiTheme="minorEastAsia" w:eastAsiaTheme="minorEastAsia"/>
          <w:sz w:val="24"/>
        </w:rPr>
      </w:pPr>
      <w:r>
        <w:rPr>
          <w:rFonts w:hint="eastAsia" w:cs="Arial" w:asciiTheme="minorEastAsia" w:hAnsiTheme="minorEastAsia" w:eastAsiaTheme="minorEastAsia"/>
          <w:sz w:val="24"/>
        </w:rPr>
        <w:t>注：1、投标人须随本表附有效证明材料，证明材料须提供复印件并加盖投标人公章，须内容清晰。投标人须将提供的有效证明材料按本表编号顺序进行编排。未提供有效证明材料的在评标时将不予认可。</w:t>
      </w:r>
    </w:p>
    <w:p>
      <w:pPr>
        <w:pStyle w:val="6"/>
        <w:spacing w:line="360" w:lineRule="auto"/>
        <w:ind w:left="424" w:leftChars="202" w:right="338" w:rightChars="161" w:firstLine="0"/>
        <w:rPr>
          <w:rFonts w:cs="Arial" w:asciiTheme="minorEastAsia" w:hAnsiTheme="minorEastAsia" w:eastAsiaTheme="minorEastAsia"/>
          <w:sz w:val="24"/>
        </w:rPr>
      </w:pPr>
      <w:r>
        <w:rPr>
          <w:rFonts w:hint="eastAsia" w:cs="Arial" w:asciiTheme="minorEastAsia" w:hAnsiTheme="minorEastAsia" w:eastAsiaTheme="minorEastAsia"/>
          <w:sz w:val="24"/>
        </w:rPr>
        <w:t>2、本表中信息如有虚假，一经查实，其投标无效。</w:t>
      </w:r>
    </w:p>
    <w:p>
      <w:pPr>
        <w:pStyle w:val="6"/>
        <w:spacing w:line="360" w:lineRule="auto"/>
        <w:ind w:left="424" w:leftChars="202" w:right="338" w:rightChars="161" w:firstLine="0"/>
        <w:rPr>
          <w:rFonts w:cs="Arial" w:asciiTheme="minorEastAsia" w:hAnsiTheme="minorEastAsia" w:eastAsiaTheme="minorEastAsia"/>
          <w:sz w:val="24"/>
        </w:rPr>
      </w:pP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 xml:space="preserve">        公章         </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 xml:space="preserve">     签字             </w:t>
      </w:r>
    </w:p>
    <w:p>
      <w:pPr>
        <w:widowControl/>
        <w:jc w:val="left"/>
        <w:rPr>
          <w:rFonts w:cs="Arial" w:asciiTheme="minorEastAsia" w:hAnsiTheme="minorEastAsia" w:eastAsiaTheme="minorEastAsia"/>
          <w:sz w:val="24"/>
        </w:rPr>
      </w:pPr>
      <w:r>
        <w:rPr>
          <w:rFonts w:cs="Arial" w:asciiTheme="minorEastAsia" w:hAnsiTheme="minorEastAsia" w:eastAsiaTheme="minorEastAsia"/>
          <w:sz w:val="24"/>
        </w:rPr>
        <w:br w:type="page"/>
      </w:r>
    </w:p>
    <w:p>
      <w:pPr>
        <w:adjustRightInd w:val="0"/>
        <w:snapToGrid w:val="0"/>
        <w:spacing w:after="120" w:afterLines="50" w:line="360" w:lineRule="auto"/>
        <w:ind w:left="424" w:leftChars="202" w:right="338" w:rightChars="161"/>
        <w:jc w:val="center"/>
        <w:outlineLvl w:val="1"/>
        <w:rPr>
          <w:rFonts w:ascii="Arial" w:hAnsi="Arial" w:eastAsia="黑体" w:cs="Arial"/>
          <w:sz w:val="30"/>
          <w:szCs w:val="30"/>
          <w:lang w:bidi="ar"/>
        </w:rPr>
      </w:pPr>
      <w:bookmarkStart w:id="805" w:name="_Toc92965941"/>
      <w:r>
        <w:rPr>
          <w:rFonts w:hint="eastAsia" w:ascii="Arial" w:hAnsi="Arial" w:eastAsia="黑体" w:cs="Arial"/>
          <w:sz w:val="30"/>
          <w:szCs w:val="30"/>
          <w:lang w:bidi="ar"/>
        </w:rPr>
        <w:t xml:space="preserve">附件 </w:t>
      </w:r>
      <w:r>
        <w:rPr>
          <w:rFonts w:ascii="Arial" w:hAnsi="Arial" w:eastAsia="黑体" w:cs="Arial"/>
          <w:sz w:val="30"/>
          <w:szCs w:val="30"/>
          <w:lang w:bidi="ar"/>
        </w:rPr>
        <w:t>12</w:t>
      </w:r>
      <w:r>
        <w:rPr>
          <w:rFonts w:hint="eastAsia" w:ascii="Arial" w:hAnsi="Arial" w:eastAsia="黑体" w:cs="Arial"/>
          <w:sz w:val="30"/>
          <w:szCs w:val="30"/>
          <w:lang w:bidi="ar"/>
        </w:rPr>
        <w:t>-</w:t>
      </w:r>
      <w:r>
        <w:rPr>
          <w:rFonts w:ascii="Arial" w:hAnsi="Arial" w:eastAsia="黑体" w:cs="Arial"/>
          <w:sz w:val="30"/>
          <w:szCs w:val="30"/>
          <w:lang w:bidi="ar"/>
        </w:rPr>
        <w:t>4</w:t>
      </w:r>
      <w:r>
        <w:rPr>
          <w:rFonts w:hint="eastAsia" w:ascii="Arial" w:hAnsi="Arial" w:eastAsia="黑体" w:cs="Arial"/>
          <w:sz w:val="30"/>
          <w:szCs w:val="30"/>
          <w:lang w:bidi="ar"/>
        </w:rPr>
        <w:t>配送车辆情况说明一览表</w:t>
      </w:r>
      <w:bookmarkEnd w:id="805"/>
    </w:p>
    <w:p>
      <w:pPr>
        <w:pStyle w:val="6"/>
        <w:spacing w:line="360" w:lineRule="auto"/>
        <w:ind w:left="424" w:leftChars="202" w:right="338" w:rightChars="161" w:firstLine="0"/>
        <w:rPr>
          <w:rFonts w:cs="Arial" w:asciiTheme="minorEastAsia" w:hAnsiTheme="minorEastAsia" w:eastAsiaTheme="minorEastAsia"/>
          <w:sz w:val="24"/>
        </w:rPr>
      </w:pPr>
      <w:r>
        <w:rPr>
          <w:rFonts w:cs="Arial" w:asciiTheme="minorEastAsia" w:hAnsiTheme="minorEastAsia" w:eastAsiaTheme="minorEastAsia"/>
          <w:sz w:val="24"/>
        </w:rPr>
        <w:t>项目名称：</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 xml:space="preserve">                                                招标编号：</w:t>
      </w:r>
    </w:p>
    <w:tbl>
      <w:tblPr>
        <w:tblStyle w:val="8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序号</w:t>
            </w:r>
          </w:p>
        </w:tc>
        <w:tc>
          <w:tcPr>
            <w:tcW w:w="1897" w:type="dxa"/>
          </w:tcPr>
          <w:p>
            <w:pPr>
              <w:pStyle w:val="6"/>
              <w:spacing w:line="360" w:lineRule="auto"/>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车辆种类</w:t>
            </w:r>
          </w:p>
        </w:tc>
        <w:tc>
          <w:tcPr>
            <w:tcW w:w="1897" w:type="dxa"/>
          </w:tcPr>
          <w:p>
            <w:pPr>
              <w:pStyle w:val="6"/>
              <w:spacing w:line="360" w:lineRule="auto"/>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已使用年限</w:t>
            </w:r>
          </w:p>
        </w:tc>
        <w:tc>
          <w:tcPr>
            <w:tcW w:w="1898" w:type="dxa"/>
          </w:tcPr>
          <w:p>
            <w:pPr>
              <w:pStyle w:val="6"/>
              <w:spacing w:line="360" w:lineRule="auto"/>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车辆情况</w:t>
            </w:r>
          </w:p>
        </w:tc>
        <w:tc>
          <w:tcPr>
            <w:tcW w:w="1898" w:type="dxa"/>
          </w:tcPr>
          <w:p>
            <w:pPr>
              <w:pStyle w:val="6"/>
              <w:spacing w:line="360" w:lineRule="auto"/>
              <w:ind w:right="338" w:rightChars="161" w:firstLine="0"/>
              <w:jc w:val="center"/>
              <w:rPr>
                <w:rFonts w:cs="Arial" w:asciiTheme="minorEastAsia" w:hAnsiTheme="minorEastAsia" w:eastAsiaTheme="minorEastAsia"/>
                <w:sz w:val="24"/>
              </w:rPr>
            </w:pPr>
            <w:r>
              <w:rPr>
                <w:rFonts w:hint="eastAsia" w:cs="Arial" w:asciiTheme="minorEastAsia" w:hAnsiTheme="minorEastAsia" w:eastAsiaTheme="minorEastAsia"/>
                <w:sz w:val="24"/>
              </w:rPr>
              <w:t>自有或租赁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7"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c>
          <w:tcPr>
            <w:tcW w:w="1898" w:type="dxa"/>
          </w:tcPr>
          <w:p>
            <w:pPr>
              <w:pStyle w:val="6"/>
              <w:spacing w:line="360" w:lineRule="auto"/>
              <w:ind w:right="338" w:rightChars="161" w:firstLine="0"/>
              <w:rPr>
                <w:rFonts w:cs="Arial" w:asciiTheme="minorEastAsia" w:hAnsiTheme="minorEastAsia" w:eastAsiaTheme="minorEastAsia"/>
                <w:sz w:val="24"/>
              </w:rPr>
            </w:pPr>
          </w:p>
        </w:tc>
      </w:tr>
    </w:tbl>
    <w:p>
      <w:pPr>
        <w:pStyle w:val="6"/>
        <w:spacing w:line="360" w:lineRule="auto"/>
        <w:ind w:left="424" w:leftChars="202" w:right="338" w:rightChars="161" w:firstLine="0"/>
        <w:rPr>
          <w:rFonts w:cs="Arial" w:asciiTheme="minorEastAsia" w:hAnsiTheme="minorEastAsia" w:eastAsiaTheme="minorEastAsia"/>
          <w:sz w:val="24"/>
        </w:rPr>
      </w:pPr>
    </w:p>
    <w:p>
      <w:pPr>
        <w:pStyle w:val="6"/>
        <w:spacing w:line="360" w:lineRule="auto"/>
        <w:ind w:right="338" w:rightChars="161"/>
        <w:rPr>
          <w:rFonts w:cs="Arial" w:asciiTheme="minorEastAsia" w:hAnsiTheme="minorEastAsia" w:eastAsiaTheme="minorEastAsia"/>
          <w:sz w:val="24"/>
        </w:rPr>
      </w:pPr>
      <w:r>
        <w:rPr>
          <w:rFonts w:hint="eastAsia" w:cs="Arial" w:asciiTheme="minorEastAsia" w:hAnsiTheme="minorEastAsia" w:eastAsiaTheme="minorEastAsia"/>
          <w:sz w:val="24"/>
        </w:rPr>
        <w:t>注：1、投标人须随本表附有效证明材料，证明材料须提供复印件并加盖投标人公章，须内容清晰。投标人须将提供的有效证明材料按本表编号顺序进行编排。未提供有效证明材料的在评标时将不予认可。</w:t>
      </w:r>
    </w:p>
    <w:p>
      <w:pPr>
        <w:pStyle w:val="6"/>
        <w:spacing w:line="360" w:lineRule="auto"/>
        <w:ind w:left="424" w:leftChars="202" w:right="338" w:rightChars="161" w:firstLine="0"/>
        <w:rPr>
          <w:rFonts w:cs="Arial" w:asciiTheme="minorEastAsia" w:hAnsiTheme="minorEastAsia" w:eastAsiaTheme="minorEastAsia"/>
          <w:sz w:val="24"/>
        </w:rPr>
      </w:pPr>
      <w:r>
        <w:rPr>
          <w:rFonts w:hint="eastAsia" w:cs="Arial" w:asciiTheme="minorEastAsia" w:hAnsiTheme="minorEastAsia" w:eastAsiaTheme="minorEastAsia"/>
          <w:sz w:val="24"/>
        </w:rPr>
        <w:t>2、本表中信息如有虚假，一经查实，其投标无效。</w:t>
      </w:r>
    </w:p>
    <w:p>
      <w:pPr>
        <w:pStyle w:val="6"/>
        <w:spacing w:line="360" w:lineRule="auto"/>
        <w:ind w:left="424" w:leftChars="202" w:right="338" w:rightChars="161" w:firstLine="0"/>
        <w:rPr>
          <w:rFonts w:cs="Arial" w:asciiTheme="minorEastAsia" w:hAnsiTheme="minorEastAsia" w:eastAsiaTheme="minorEastAsia"/>
          <w:sz w:val="24"/>
        </w:rPr>
      </w:pPr>
    </w:p>
    <w:p>
      <w:pPr>
        <w:pStyle w:val="148"/>
        <w:adjustRightInd/>
        <w:snapToGrid/>
        <w:spacing w:after="0"/>
        <w:ind w:right="338" w:rightChars="161"/>
        <w:rPr>
          <w:rFonts w:ascii="Arial" w:hAnsi="Arial" w:cs="Arial"/>
          <w:u w:val="single"/>
        </w:rPr>
      </w:pPr>
      <w:r>
        <w:rPr>
          <w:rFonts w:ascii="Arial" w:hAnsi="Arial" w:cs="Arial"/>
        </w:rPr>
        <w:t>供应商名称：</w:t>
      </w:r>
      <w:r>
        <w:rPr>
          <w:rFonts w:ascii="Arial" w:hAnsi="Arial" w:cs="Arial"/>
          <w:u w:val="single"/>
        </w:rPr>
        <w:t xml:space="preserve">        公章         </w:t>
      </w:r>
    </w:p>
    <w:p>
      <w:pPr>
        <w:spacing w:line="360" w:lineRule="auto"/>
        <w:ind w:right="338" w:rightChars="161"/>
        <w:rPr>
          <w:rFonts w:ascii="Arial" w:hAnsi="Arial" w:cs="Arial"/>
          <w:sz w:val="24"/>
          <w:u w:val="single"/>
        </w:rPr>
      </w:pPr>
      <w:r>
        <w:rPr>
          <w:rFonts w:ascii="Arial" w:hAnsi="Arial" w:cs="Arial"/>
          <w:sz w:val="24"/>
        </w:rPr>
        <w:t>授权代表：</w:t>
      </w:r>
      <w:r>
        <w:rPr>
          <w:rFonts w:ascii="Arial" w:hAnsi="Arial" w:cs="Arial"/>
          <w:sz w:val="24"/>
          <w:u w:val="single"/>
        </w:rPr>
        <w:t xml:space="preserve">     签字             </w:t>
      </w:r>
    </w:p>
    <w:p>
      <w:pPr>
        <w:rPr>
          <w:rFonts w:ascii="Arial" w:hAnsi="Arial" w:eastAsia="黑体" w:cs="Arial"/>
          <w:sz w:val="30"/>
          <w:szCs w:val="30"/>
          <w:lang w:bidi="ar"/>
        </w:rPr>
      </w:pPr>
    </w:p>
    <w:p>
      <w:pPr>
        <w:pStyle w:val="34"/>
        <w:spacing w:line="360" w:lineRule="auto"/>
        <w:ind w:right="338" w:rightChars="161"/>
        <w:rPr>
          <w:rFonts w:asciiTheme="minorEastAsia" w:hAnsiTheme="minorEastAsia" w:eastAsiaTheme="minorEastAsia"/>
          <w:b w:val="0"/>
          <w:bCs/>
          <w:i w:val="0"/>
          <w:iCs/>
          <w:sz w:val="24"/>
        </w:rPr>
      </w:pPr>
    </w:p>
    <w:p>
      <w:pPr>
        <w:spacing w:line="487" w:lineRule="exact"/>
        <w:ind w:right="338" w:rightChars="161"/>
        <w:jc w:val="center"/>
        <w:rPr>
          <w:rFonts w:ascii="Noto Sans CJK JP Medium" w:eastAsia="Noto Sans CJK JP Medium"/>
        </w:rPr>
        <w:sectPr>
          <w:pgSz w:w="11910" w:h="16840"/>
          <w:pgMar w:top="1460" w:right="1137" w:bottom="1180" w:left="1276" w:header="885" w:footer="992" w:gutter="0"/>
          <w:cols w:space="720" w:num="1"/>
        </w:sectPr>
      </w:pPr>
    </w:p>
    <w:p>
      <w:pPr>
        <w:adjustRightInd w:val="0"/>
        <w:snapToGrid w:val="0"/>
        <w:spacing w:after="120" w:afterLines="50" w:line="360" w:lineRule="auto"/>
        <w:ind w:right="338" w:rightChars="161"/>
        <w:jc w:val="center"/>
        <w:outlineLvl w:val="1"/>
        <w:rPr>
          <w:rFonts w:ascii="Arial" w:hAnsi="Arial" w:eastAsia="黑体" w:cs="Arial"/>
          <w:sz w:val="30"/>
          <w:szCs w:val="30"/>
        </w:rPr>
      </w:pPr>
      <w:bookmarkStart w:id="806" w:name="_Toc92183025"/>
      <w:bookmarkStart w:id="807" w:name="_Toc92357021"/>
      <w:bookmarkStart w:id="808" w:name="_Toc92965942"/>
      <w:r>
        <w:rPr>
          <w:rFonts w:hint="eastAsia" w:ascii="Arial" w:hAnsi="Arial" w:eastAsia="黑体" w:cs="Arial"/>
          <w:sz w:val="30"/>
          <w:szCs w:val="30"/>
          <w:lang w:bidi="ar"/>
        </w:rPr>
        <w:t>附件</w:t>
      </w:r>
      <w:r>
        <w:rPr>
          <w:rFonts w:ascii="Arial" w:hAnsi="Arial" w:eastAsia="黑体" w:cs="Arial"/>
          <w:sz w:val="30"/>
          <w:szCs w:val="30"/>
          <w:lang w:bidi="ar"/>
        </w:rPr>
        <w:t>13</w:t>
      </w:r>
      <w:r>
        <w:rPr>
          <w:rFonts w:hint="eastAsia" w:ascii="Arial" w:hAnsi="Arial" w:eastAsia="黑体" w:cs="Arial"/>
          <w:sz w:val="30"/>
          <w:szCs w:val="30"/>
          <w:lang w:bidi="ar"/>
        </w:rPr>
        <w:t>评分索引表（置于响应文件的目录前一页）</w:t>
      </w:r>
      <w:bookmarkEnd w:id="806"/>
      <w:bookmarkEnd w:id="807"/>
      <w:bookmarkEnd w:id="808"/>
    </w:p>
    <w:p>
      <w:pPr>
        <w:spacing w:line="360" w:lineRule="auto"/>
        <w:ind w:right="338" w:rightChars="161"/>
        <w:jc w:val="center"/>
        <w:rPr>
          <w:rFonts w:ascii="宋体" w:hAnsi="宋体" w:cs="Arial"/>
          <w:sz w:val="24"/>
          <w:lang w:bidi="ar"/>
        </w:rPr>
      </w:pPr>
      <w:r>
        <w:rPr>
          <w:rFonts w:hint="eastAsia" w:ascii="宋体" w:hAnsi="宋体" w:cs="Arial"/>
          <w:sz w:val="24"/>
          <w:lang w:bidi="ar"/>
        </w:rPr>
        <w:t>供应商按照评标办法所列评分内容，列出响应文件对应响应内容的页码</w:t>
      </w:r>
    </w:p>
    <w:p>
      <w:pPr>
        <w:pStyle w:val="178"/>
        <w:ind w:right="338" w:rightChars="161" w:firstLine="456"/>
        <w:jc w:val="center"/>
        <w:rPr>
          <w:rFonts w:ascii="Arial" w:hAnsi="Arial" w:cs="Arial"/>
          <w:sz w:val="24"/>
        </w:rPr>
      </w:pPr>
    </w:p>
    <w:p>
      <w:pPr>
        <w:spacing w:line="588" w:lineRule="exact"/>
        <w:jc w:val="center"/>
        <w:rPr>
          <w:rFonts w:ascii="Arial" w:hAnsi="Arial" w:cs="Arial"/>
          <w:sz w:val="24"/>
        </w:rPr>
      </w:pPr>
      <w:r>
        <w:rPr>
          <w:rFonts w:hint="eastAsia" w:ascii="Arial" w:hAnsi="Arial" w:cs="Arial"/>
          <w:sz w:val="24"/>
        </w:rPr>
        <w:t xml:space="preserve"> </w:t>
      </w:r>
    </w:p>
    <w:sectPr>
      <w:footerReference r:id="rId14" w:type="first"/>
      <w:pgSz w:w="11906" w:h="16838"/>
      <w:pgMar w:top="1247" w:right="1247" w:bottom="1247"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imes_New_Roman">
    <w:altName w:val="Times New Roman"/>
    <w:panose1 w:val="00000000000000000000"/>
    <w:charset w:val="00"/>
    <w:family w:val="roman"/>
    <w:pitch w:val="default"/>
    <w:sig w:usb0="00000000" w:usb1="00000000" w:usb2="00000008" w:usb3="00000000" w:csb0="400001FF" w:csb1="FFFF0000"/>
  </w:font>
  <w:font w:name="外交粗仿宋">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Garamond">
    <w:panose1 w:val="02020502050306020203"/>
    <w:charset w:val="0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外交黑体">
    <w:panose1 w:val="03000509000000000000"/>
    <w:charset w:val="86"/>
    <w:family w:val="script"/>
    <w:pitch w:val="default"/>
    <w:sig w:usb0="00000001" w:usb1="080E0000" w:usb2="00000000" w:usb3="00000000" w:csb0="00040000" w:csb1="00000000"/>
  </w:font>
  <w:font w:name="Helvetica Neue">
    <w:altName w:val="Corbel"/>
    <w:panose1 w:val="00000000000000000000"/>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 w:name="Noto Sans Mono CJK JP Bold">
    <w:altName w:val="Calibri"/>
    <w:panose1 w:val="00000000000000000000"/>
    <w:charset w:val="00"/>
    <w:family w:val="swiss"/>
    <w:pitch w:val="default"/>
    <w:sig w:usb0="00000000" w:usb1="00000000" w:usb2="00000000" w:usb3="00000000" w:csb0="00000000" w:csb1="00000000"/>
  </w:font>
  <w:font w:name="Noto Sans CJK JP Medium">
    <w:altName w:val="Calibri"/>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5"/>
      </w:rPr>
    </w:pPr>
    <w:r>
      <w:fldChar w:fldCharType="begin"/>
    </w:r>
    <w:r>
      <w:rPr>
        <w:rStyle w:val="95"/>
      </w:rPr>
      <w:instrText xml:space="preserve">PAGE  </w:instrText>
    </w:r>
    <w:r>
      <w:fldChar w:fldCharType="separate"/>
    </w:r>
    <w:r>
      <w:rPr>
        <w:rStyle w:val="95"/>
      </w:rPr>
      <w:t>30</w:t>
    </w:r>
    <w:r>
      <w:fldChar w:fldCharType="end"/>
    </w:r>
  </w:p>
  <w:p>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17</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rFonts w:ascii="Arial" w:hAnsi="Arial" w:cs="Arial"/>
      </w:rPr>
    </w:pPr>
    <w:r>
      <w:rPr>
        <w:rFonts w:ascii="Arial" w:hAnsi="Arial" w:cs="Arial"/>
      </w:rPr>
      <w:fldChar w:fldCharType="begin"/>
    </w:r>
    <w:r>
      <w:rPr>
        <w:rStyle w:val="95"/>
        <w:rFonts w:cs="Arial"/>
      </w:rPr>
      <w:instrText xml:space="preserve"> PAGE </w:instrText>
    </w:r>
    <w:r>
      <w:rPr>
        <w:rFonts w:ascii="Arial" w:hAnsi="Arial" w:cs="Arial"/>
      </w:rPr>
      <w:fldChar w:fldCharType="separate"/>
    </w:r>
    <w:r>
      <w:rPr>
        <w:rStyle w:val="95"/>
        <w:rFonts w:cs="Arial"/>
      </w:rPr>
      <w:t>62</w:t>
    </w:r>
    <w:r>
      <w:rPr>
        <w:rFonts w:ascii="Arial" w:hAnsi="Arial" w:cs="Arial"/>
      </w:rPr>
      <w:fldChar w:fldCharType="end"/>
    </w:r>
  </w:p>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5"/>
      </w:rPr>
    </w:pPr>
    <w:r>
      <w:fldChar w:fldCharType="begin"/>
    </w:r>
    <w:r>
      <w:rPr>
        <w:rStyle w:val="95"/>
      </w:rPr>
      <w:instrText xml:space="preserve">PAGE  </w:instrText>
    </w:r>
    <w:r>
      <w:fldChar w:fldCharType="separate"/>
    </w:r>
    <w:r>
      <w:rPr>
        <w:rStyle w:val="95"/>
      </w:rPr>
      <w:t>19</w:t>
    </w:r>
    <w:r>
      <w:fldChar w:fldCharType="end"/>
    </w:r>
  </w:p>
  <w:p>
    <w:pPr>
      <w:pStyle w:val="55"/>
    </w:pPr>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82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24.%1"/>
      <w:lvlJc w:val="left"/>
      <w:pPr>
        <w:tabs>
          <w:tab w:val="left" w:pos="567"/>
        </w:tabs>
        <w:ind w:left="567" w:hanging="567"/>
      </w:pPr>
      <w:rPr>
        <w:rFonts w:hint="eastAsia"/>
        <w:b w:val="0"/>
        <w:i w:val="0"/>
        <w:sz w:val="24"/>
      </w:rPr>
    </w:lvl>
    <w:lvl w:ilvl="1" w:tentative="0">
      <w:start w:val="1"/>
      <w:numFmt w:val="japaneseCounting"/>
      <w:lvlText w:val="%2、"/>
      <w:lvlJc w:val="left"/>
      <w:pPr>
        <w:ind w:left="996" w:hanging="576"/>
      </w:pPr>
      <w:rPr>
        <w:rFonts w:hint="default" w:ascii="幼圆" w:eastAsia="幼圆"/>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8.%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lvlText w:val="20.%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9.%1"/>
      <w:lvlJc w:val="left"/>
      <w:pPr>
        <w:tabs>
          <w:tab w:val="left" w:pos="567"/>
        </w:tabs>
        <w:ind w:left="567" w:hanging="567"/>
      </w:pPr>
      <w:rPr>
        <w:rFonts w:hint="eastAsia"/>
        <w:b w:val="0"/>
        <w:i w:val="0"/>
        <w:sz w:val="24"/>
      </w:rPr>
    </w:lvl>
    <w:lvl w:ilvl="1" w:tentative="0">
      <w:start w:val="1"/>
      <w:numFmt w:val="decimal"/>
      <w:lvlText w:val="(%2)"/>
      <w:lvlJc w:val="left"/>
      <w:pPr>
        <w:tabs>
          <w:tab w:val="left" w:pos="1049"/>
        </w:tabs>
        <w:ind w:left="1049" w:hanging="482"/>
      </w:pPr>
      <w:rPr>
        <w:rFonts w:hint="default" w:ascii="Arial" w:hAnsi="Arial"/>
        <w:b w:val="0"/>
        <w:i w:val="0"/>
        <w:sz w:val="24"/>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singleLevel"/>
    <w:tmpl w:val="00000012"/>
    <w:lvl w:ilvl="0" w:tentative="0">
      <w:start w:val="1"/>
      <w:numFmt w:val="decimal"/>
      <w:pStyle w:val="185"/>
      <w:lvlText w:val="%1."/>
      <w:lvlJc w:val="left"/>
      <w:pPr>
        <w:tabs>
          <w:tab w:val="left" w:pos="964"/>
        </w:tabs>
        <w:ind w:left="964" w:hanging="482"/>
      </w:pPr>
      <w:rPr>
        <w:rFonts w:hint="default" w:ascii="Arial" w:hAnsi="Arial"/>
        <w:b w:val="0"/>
        <w:i w:val="0"/>
        <w:sz w:val="24"/>
      </w:rPr>
    </w:lvl>
  </w:abstractNum>
  <w:abstractNum w:abstractNumId="5">
    <w:nsid w:val="00000016"/>
    <w:multiLevelType w:val="multilevel"/>
    <w:tmpl w:val="00000016"/>
    <w:lvl w:ilvl="0" w:tentative="0">
      <w:start w:val="1"/>
      <w:numFmt w:val="decimal"/>
      <w:lvlText w:val="21.%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4A"/>
    <w:multiLevelType w:val="multilevel"/>
    <w:tmpl w:val="0000004A"/>
    <w:lvl w:ilvl="0" w:tentative="0">
      <w:start w:val="1"/>
      <w:numFmt w:val="decimal"/>
      <w:lvlText w:val="2.%1"/>
      <w:lvlJc w:val="left"/>
      <w:pPr>
        <w:tabs>
          <w:tab w:val="left" w:pos="567"/>
        </w:tabs>
        <w:ind w:left="567" w:hanging="567"/>
      </w:pPr>
      <w:rPr>
        <w:rFonts w:hint="default" w:ascii="Arial" w:hAnsi="Arial"/>
        <w:b w:val="0"/>
        <w:i w:val="0"/>
        <w:sz w:val="24"/>
      </w:rPr>
    </w:lvl>
    <w:lvl w:ilvl="1" w:tentative="0">
      <w:start w:val="1"/>
      <w:numFmt w:val="decimal"/>
      <w:lvlText w:val="2.%2"/>
      <w:lvlJc w:val="left"/>
      <w:pPr>
        <w:tabs>
          <w:tab w:val="left" w:pos="567"/>
        </w:tabs>
        <w:ind w:left="567" w:hanging="567"/>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51"/>
    <w:multiLevelType w:val="singleLevel"/>
    <w:tmpl w:val="00000051"/>
    <w:lvl w:ilvl="0" w:tentative="0">
      <w:start w:val="1"/>
      <w:numFmt w:val="decimal"/>
      <w:pStyle w:val="21"/>
      <w:lvlText w:val="%1."/>
      <w:lvlJc w:val="left"/>
      <w:pPr>
        <w:tabs>
          <w:tab w:val="left" w:pos="482"/>
        </w:tabs>
        <w:ind w:left="0" w:firstLine="0"/>
      </w:pPr>
      <w:rPr>
        <w:rFonts w:hint="default" w:ascii="Arial" w:hAnsi="Arial"/>
        <w:b w:val="0"/>
        <w:i w:val="0"/>
        <w:sz w:val="24"/>
      </w:rPr>
    </w:lvl>
  </w:abstractNum>
  <w:abstractNum w:abstractNumId="8">
    <w:nsid w:val="00000056"/>
    <w:multiLevelType w:val="multilevel"/>
    <w:tmpl w:val="00000056"/>
    <w:lvl w:ilvl="0" w:tentative="0">
      <w:start w:val="1"/>
      <w:numFmt w:val="decimal"/>
      <w:lvlText w:val="14.%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5E"/>
    <w:multiLevelType w:val="multilevel"/>
    <w:tmpl w:val="0000005E"/>
    <w:lvl w:ilvl="0" w:tentative="0">
      <w:start w:val="1"/>
      <w:numFmt w:val="decimal"/>
      <w:lvlText w:val="19.%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60"/>
    <w:multiLevelType w:val="multilevel"/>
    <w:tmpl w:val="00000060"/>
    <w:lvl w:ilvl="0" w:tentative="0">
      <w:start w:val="1"/>
      <w:numFmt w:val="decimal"/>
      <w:lvlText w:val="6.%1"/>
      <w:lvlJc w:val="left"/>
      <w:pPr>
        <w:tabs>
          <w:tab w:val="left" w:pos="567"/>
        </w:tabs>
        <w:ind w:left="567" w:hanging="567"/>
      </w:pPr>
      <w:rPr>
        <w:rFonts w:hint="default" w:ascii="Arial" w:hAnsi="Arial"/>
        <w:b w:val="0"/>
        <w:i w:val="0"/>
        <w:sz w:val="24"/>
      </w:rPr>
    </w:lvl>
    <w:lvl w:ilvl="1" w:tentative="0">
      <w:start w:val="1"/>
      <w:numFmt w:val="decimal"/>
      <w:lvlText w:val="6.%2"/>
      <w:lvlJc w:val="left"/>
      <w:pPr>
        <w:tabs>
          <w:tab w:val="left" w:pos="567"/>
        </w:tabs>
        <w:ind w:left="567" w:hanging="567"/>
      </w:pPr>
      <w:rPr>
        <w:rFonts w:hint="default" w:ascii="Arial" w:hAnsi="Arial"/>
        <w:b w:val="0"/>
        <w:i w:val="0"/>
        <w:sz w:val="24"/>
      </w:rPr>
    </w:lvl>
    <w:lvl w:ilvl="2" w:tentative="0">
      <w:start w:val="1"/>
      <w:numFmt w:val="none"/>
      <w:lvlText w:val=""/>
      <w:lvlJc w:val="left"/>
      <w:pPr>
        <w:tabs>
          <w:tab w:val="left" w:pos="567"/>
        </w:tabs>
        <w:ind w:left="567" w:hanging="567"/>
      </w:pPr>
      <w:rPr>
        <w:rFonts w:hint="eastAsia"/>
        <w:b w:val="0"/>
        <w:i w:val="0"/>
        <w:sz w:val="24"/>
      </w:rPr>
    </w:lvl>
    <w:lvl w:ilvl="3" w:tentative="0">
      <w:start w:val="1"/>
      <w:numFmt w:val="japaneseCounting"/>
      <w:lvlText w:val="第%4章"/>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63"/>
    <w:multiLevelType w:val="multilevel"/>
    <w:tmpl w:val="00000063"/>
    <w:lvl w:ilvl="0" w:tentative="0">
      <w:start w:val="1"/>
      <w:numFmt w:val="decimal"/>
      <w:lvlText w:val="1.%1"/>
      <w:lvlJc w:val="left"/>
      <w:pPr>
        <w:tabs>
          <w:tab w:val="left" w:pos="567"/>
        </w:tabs>
        <w:ind w:left="567" w:hanging="567"/>
      </w:pPr>
      <w:rPr>
        <w:rFonts w:hint="default" w:ascii="Arial" w:hAnsi="Arial"/>
        <w:b w:val="0"/>
        <w:i w:val="0"/>
        <w:sz w:val="24"/>
      </w:rPr>
    </w:lvl>
    <w:lvl w:ilvl="1" w:tentative="0">
      <w:start w:val="1"/>
      <w:numFmt w:val="decimal"/>
      <w:lvlText w:val="1.%2"/>
      <w:lvlJc w:val="left"/>
      <w:pPr>
        <w:tabs>
          <w:tab w:val="left" w:pos="567"/>
        </w:tabs>
        <w:ind w:left="567" w:hanging="567"/>
      </w:pPr>
      <w:rPr>
        <w:rFonts w:hint="default" w:ascii="Arial" w:hAnsi="Arial"/>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64"/>
    <w:multiLevelType w:val="multilevel"/>
    <w:tmpl w:val="00000064"/>
    <w:lvl w:ilvl="0" w:tentative="0">
      <w:start w:val="1"/>
      <w:numFmt w:val="decimal"/>
      <w:lvlText w:val="11.%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65"/>
    <w:multiLevelType w:val="multilevel"/>
    <w:tmpl w:val="00000065"/>
    <w:lvl w:ilvl="0" w:tentative="0">
      <w:start w:val="1"/>
      <w:numFmt w:val="decimal"/>
      <w:lvlText w:val="22.%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6E"/>
    <w:multiLevelType w:val="multilevel"/>
    <w:tmpl w:val="0000006E"/>
    <w:lvl w:ilvl="0" w:tentative="0">
      <w:start w:val="1"/>
      <w:numFmt w:val="decimal"/>
      <w:lvlText w:val="15.%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72"/>
    <w:multiLevelType w:val="multilevel"/>
    <w:tmpl w:val="00000072"/>
    <w:lvl w:ilvl="0" w:tentative="0">
      <w:start w:val="1"/>
      <w:numFmt w:val="decimal"/>
      <w:lvlText w:val="14.%1"/>
      <w:lvlJc w:val="left"/>
      <w:pPr>
        <w:tabs>
          <w:tab w:val="left" w:pos="567"/>
        </w:tabs>
        <w:ind w:left="567" w:hanging="567"/>
      </w:pPr>
      <w:rPr>
        <w:rFonts w:hint="eastAsia"/>
        <w:b w:val="0"/>
        <w:i w:val="0"/>
        <w:sz w:val="24"/>
      </w:rPr>
    </w:lvl>
    <w:lvl w:ilvl="1" w:tentative="0">
      <w:start w:val="1"/>
      <w:numFmt w:val="none"/>
      <w:lvlText w:val=""/>
      <w:lvlJc w:val="left"/>
      <w:pPr>
        <w:tabs>
          <w:tab w:val="left" w:pos="567"/>
        </w:tabs>
        <w:ind w:left="567" w:hanging="567"/>
      </w:pPr>
      <w:rPr>
        <w:rFonts w:hint="eastAsia"/>
        <w:b w:val="0"/>
        <w:i w:val="0"/>
        <w:sz w:val="24"/>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000073"/>
    <w:multiLevelType w:val="multilevel"/>
    <w:tmpl w:val="00000073"/>
    <w:lvl w:ilvl="0" w:tentative="0">
      <w:start w:val="1"/>
      <w:numFmt w:val="decimal"/>
      <w:lvlText w:val="18.%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7D"/>
    <w:multiLevelType w:val="multilevel"/>
    <w:tmpl w:val="0000007D"/>
    <w:lvl w:ilvl="0" w:tentative="0">
      <w:start w:val="1"/>
      <w:numFmt w:val="decimal"/>
      <w:lvlText w:val="3.%1"/>
      <w:lvlJc w:val="left"/>
      <w:pPr>
        <w:tabs>
          <w:tab w:val="left" w:pos="567"/>
        </w:tabs>
        <w:ind w:left="567" w:hanging="567"/>
      </w:pPr>
      <w:rPr>
        <w:rFonts w:hint="default" w:ascii="Arial" w:hAnsi="Arial"/>
        <w:b w:val="0"/>
        <w:i w:val="0"/>
        <w:sz w:val="24"/>
      </w:rPr>
    </w:lvl>
    <w:lvl w:ilvl="1" w:tentative="0">
      <w:start w:val="1"/>
      <w:numFmt w:val="decimal"/>
      <w:lvlText w:val="5.%2."/>
      <w:lvlJc w:val="left"/>
      <w:pPr>
        <w:tabs>
          <w:tab w:val="left" w:pos="567"/>
        </w:tabs>
        <w:ind w:left="567" w:hanging="567"/>
      </w:pPr>
      <w:rPr>
        <w:rFonts w:hint="eastAsia"/>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8D"/>
    <w:multiLevelType w:val="multilevel"/>
    <w:tmpl w:val="0000008D"/>
    <w:lvl w:ilvl="0" w:tentative="0">
      <w:start w:val="1"/>
      <w:numFmt w:val="decimal"/>
      <w:lvlText w:val="17.%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92"/>
    <w:multiLevelType w:val="multilevel"/>
    <w:tmpl w:val="00000092"/>
    <w:lvl w:ilvl="0" w:tentative="0">
      <w:start w:val="1"/>
      <w:numFmt w:val="decimal"/>
      <w:lvlText w:val="(%1)"/>
      <w:lvlJc w:val="left"/>
      <w:pPr>
        <w:tabs>
          <w:tab w:val="left" w:pos="1049"/>
        </w:tabs>
        <w:ind w:left="1049" w:hanging="482"/>
      </w:pPr>
      <w:rPr>
        <w:rFonts w:hint="default" w:ascii="Arial" w:hAnsi="Arial"/>
        <w:b w:val="0"/>
        <w:i w:val="0"/>
        <w:sz w:val="24"/>
      </w:rPr>
    </w:lvl>
    <w:lvl w:ilvl="1" w:tentative="0">
      <w:start w:val="1"/>
      <w:numFmt w:val="decimal"/>
      <w:lvlText w:val="15.%2"/>
      <w:lvlJc w:val="left"/>
      <w:pPr>
        <w:tabs>
          <w:tab w:val="left" w:pos="567"/>
        </w:tabs>
        <w:ind w:left="567" w:hanging="567"/>
      </w:pPr>
      <w:rPr>
        <w:rFonts w:hint="eastAsia"/>
        <w:b w:val="0"/>
        <w:i w:val="0"/>
        <w:sz w:val="24"/>
      </w:rPr>
    </w:lvl>
    <w:lvl w:ilvl="2" w:tentative="0">
      <w:start w:val="1"/>
      <w:numFmt w:val="decimal"/>
      <w:lvlText w:val="13.%3"/>
      <w:lvlJc w:val="left"/>
      <w:pPr>
        <w:tabs>
          <w:tab w:val="left" w:pos="567"/>
        </w:tabs>
        <w:ind w:left="567" w:hanging="567"/>
      </w:pPr>
      <w:rPr>
        <w:rFonts w:hint="eastAsia"/>
        <w:b w:val="0"/>
        <w:i w:val="0"/>
        <w:sz w:val="24"/>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93"/>
    <w:multiLevelType w:val="multilevel"/>
    <w:tmpl w:val="00000093"/>
    <w:lvl w:ilvl="0" w:tentative="0">
      <w:start w:val="1"/>
      <w:numFmt w:val="decimal"/>
      <w:lvlText w:val="(%1)"/>
      <w:lvlJc w:val="left"/>
      <w:pPr>
        <w:tabs>
          <w:tab w:val="left" w:pos="964"/>
        </w:tabs>
        <w:ind w:left="964" w:hanging="482"/>
      </w:pPr>
      <w:rPr>
        <w:rFonts w:hint="default" w:ascii="Arial" w:hAnsi="Arial"/>
        <w:b w:val="0"/>
        <w:i w:val="0"/>
        <w:sz w:val="24"/>
      </w:rPr>
    </w:lvl>
    <w:lvl w:ilvl="1" w:tentative="0">
      <w:start w:val="6"/>
      <w:numFmt w:val="japaneseCounting"/>
      <w:lvlText w:val="第%2章"/>
      <w:lvlJc w:val="left"/>
      <w:pPr>
        <w:tabs>
          <w:tab w:val="left" w:pos="1815"/>
        </w:tabs>
        <w:ind w:left="1815" w:hanging="139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96"/>
    <w:multiLevelType w:val="multilevel"/>
    <w:tmpl w:val="00000096"/>
    <w:lvl w:ilvl="0" w:tentative="0">
      <w:start w:val="1"/>
      <w:numFmt w:val="decimal"/>
      <w:lvlText w:val="7.%1"/>
      <w:lvlJc w:val="left"/>
      <w:pPr>
        <w:tabs>
          <w:tab w:val="left" w:pos="567"/>
        </w:tabs>
        <w:ind w:left="567" w:hanging="567"/>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97"/>
    <w:multiLevelType w:val="multilevel"/>
    <w:tmpl w:val="00000097"/>
    <w:lvl w:ilvl="0" w:tentative="0">
      <w:start w:val="1"/>
      <w:numFmt w:val="decimal"/>
      <w:lvlText w:val="%1."/>
      <w:lvlJc w:val="left"/>
      <w:pPr>
        <w:tabs>
          <w:tab w:val="left" w:pos="482"/>
        </w:tabs>
        <w:ind w:left="482" w:hanging="482"/>
      </w:pPr>
      <w:rPr>
        <w:rFonts w:hint="default" w:ascii="Arial" w:hAnsi="Arial"/>
        <w:b/>
        <w:i w:val="0"/>
        <w:sz w:val="24"/>
      </w:rPr>
    </w:lvl>
    <w:lvl w:ilvl="1" w:tentative="0">
      <w:start w:val="8"/>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A2"/>
    <w:multiLevelType w:val="multilevel"/>
    <w:tmpl w:val="000000A2"/>
    <w:lvl w:ilvl="0" w:tentative="0">
      <w:start w:val="1"/>
      <w:numFmt w:val="decimal"/>
      <w:lvlText w:val="16.%1"/>
      <w:lvlJc w:val="left"/>
      <w:pPr>
        <w:tabs>
          <w:tab w:val="left" w:pos="567"/>
        </w:tabs>
        <w:ind w:left="567" w:hanging="567"/>
      </w:pPr>
      <w:rPr>
        <w:rFonts w:hint="eastAsia"/>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A4"/>
    <w:multiLevelType w:val="multilevel"/>
    <w:tmpl w:val="000000A4"/>
    <w:lvl w:ilvl="0" w:tentative="0">
      <w:start w:val="1"/>
      <w:numFmt w:val="decimal"/>
      <w:lvlText w:val="23.%1"/>
      <w:lvlJc w:val="left"/>
      <w:pPr>
        <w:tabs>
          <w:tab w:val="left" w:pos="1135"/>
        </w:tabs>
        <w:ind w:left="1135" w:hanging="567"/>
      </w:pPr>
      <w:rPr>
        <w:rFonts w:hint="eastAsia"/>
        <w:b w:val="0"/>
        <w:i w:val="0"/>
        <w:sz w:val="24"/>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25">
    <w:nsid w:val="0F9038F7"/>
    <w:multiLevelType w:val="multilevel"/>
    <w:tmpl w:val="0F9038F7"/>
    <w:lvl w:ilvl="0" w:tentative="0">
      <w:start w:val="1"/>
      <w:numFmt w:val="decimal"/>
      <w:pStyle w:val="33"/>
      <w:lvlText w:val="(%1)"/>
      <w:lvlJc w:val="left"/>
      <w:pPr>
        <w:tabs>
          <w:tab w:val="left" w:pos="1446"/>
        </w:tabs>
        <w:ind w:left="1446" w:hanging="482"/>
      </w:pPr>
      <w:rPr>
        <w:rFonts w:hint="eastAsia"/>
      </w:rPr>
    </w:lvl>
    <w:lvl w:ilvl="1" w:tentative="0">
      <w:start w:val="1"/>
      <w:numFmt w:val="lowerLetter"/>
      <w:pStyle w:val="248"/>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6">
    <w:nsid w:val="12D1201E"/>
    <w:multiLevelType w:val="multilevel"/>
    <w:tmpl w:val="12D1201E"/>
    <w:lvl w:ilvl="0" w:tentative="0">
      <w:start w:val="1"/>
      <w:numFmt w:val="decimal"/>
      <w:lvlText w:val="(%1)"/>
      <w:lvlJc w:val="left"/>
      <w:pPr>
        <w:tabs>
          <w:tab w:val="left" w:pos="624"/>
        </w:tabs>
        <w:ind w:left="624" w:hanging="14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207E490D"/>
    <w:multiLevelType w:val="multilevel"/>
    <w:tmpl w:val="207E490D"/>
    <w:lvl w:ilvl="0" w:tentative="0">
      <w:start w:val="1"/>
      <w:numFmt w:val="decimal"/>
      <w:pStyle w:val="36"/>
      <w:lvlText w:val="25.%1"/>
      <w:lvlJc w:val="left"/>
      <w:pPr>
        <w:tabs>
          <w:tab w:val="left" w:pos="567"/>
        </w:tabs>
        <w:ind w:left="567" w:hanging="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FB27BD6"/>
    <w:multiLevelType w:val="multilevel"/>
    <w:tmpl w:val="2FB27BD6"/>
    <w:lvl w:ilvl="0" w:tentative="0">
      <w:start w:val="1"/>
      <w:numFmt w:val="lowerLetter"/>
      <w:lvlText w:val="%1)"/>
      <w:lvlJc w:val="left"/>
      <w:pPr>
        <w:ind w:left="420" w:hanging="420"/>
      </w:pPr>
      <w:rPr>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35A708C0"/>
    <w:multiLevelType w:val="multilevel"/>
    <w:tmpl w:val="35A708C0"/>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2767B"/>
    <w:multiLevelType w:val="multilevel"/>
    <w:tmpl w:val="3BF2767B"/>
    <w:lvl w:ilvl="0" w:tentative="0">
      <w:start w:val="1"/>
      <w:numFmt w:val="japaneseCounting"/>
      <w:pStyle w:val="2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DAD638E"/>
    <w:multiLevelType w:val="multilevel"/>
    <w:tmpl w:val="3DAD638E"/>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28D57AD"/>
    <w:multiLevelType w:val="multilevel"/>
    <w:tmpl w:val="428D57AD"/>
    <w:lvl w:ilvl="0" w:tentative="0">
      <w:start w:val="1"/>
      <w:numFmt w:val="decimal"/>
      <w:lvlText w:val="%1."/>
      <w:lvlJc w:val="left"/>
      <w:pPr>
        <w:tabs>
          <w:tab w:val="left" w:pos="964"/>
        </w:tabs>
        <w:ind w:left="0" w:firstLine="482"/>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3">
    <w:nsid w:val="4303196D"/>
    <w:multiLevelType w:val="multilevel"/>
    <w:tmpl w:val="4303196D"/>
    <w:lvl w:ilvl="0" w:tentative="0">
      <w:start w:val="1"/>
      <w:numFmt w:val="bullet"/>
      <w:pStyle w:val="4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43AB3BBC"/>
    <w:multiLevelType w:val="multilevel"/>
    <w:tmpl w:val="43AB3BBC"/>
    <w:lvl w:ilvl="0" w:tentative="0">
      <w:start w:val="1"/>
      <w:numFmt w:val="decimal"/>
      <w:lvlText w:val="6.%1"/>
      <w:lvlJc w:val="left"/>
      <w:pPr>
        <w:tabs>
          <w:tab w:val="left" w:pos="567"/>
        </w:tabs>
        <w:ind w:left="567" w:hanging="567"/>
      </w:pPr>
      <w:rPr>
        <w:rFonts w:hint="default" w:ascii="Arial" w:hAnsi="Arial"/>
        <w:b w:val="0"/>
        <w:i w:val="0"/>
        <w:sz w:val="24"/>
      </w:rPr>
    </w:lvl>
    <w:lvl w:ilvl="1" w:tentative="0">
      <w:start w:val="1"/>
      <w:numFmt w:val="decimal"/>
      <w:lvlText w:val="6.%2"/>
      <w:lvlJc w:val="left"/>
      <w:pPr>
        <w:tabs>
          <w:tab w:val="left" w:pos="567"/>
        </w:tabs>
        <w:ind w:left="567" w:hanging="567"/>
      </w:pPr>
      <w:rPr>
        <w:rFonts w:hint="default" w:ascii="Arial" w:hAnsi="Arial"/>
        <w:b w:val="0"/>
        <w:i w:val="0"/>
        <w:sz w:val="24"/>
      </w:rPr>
    </w:lvl>
    <w:lvl w:ilvl="2" w:tentative="0">
      <w:start w:val="1"/>
      <w:numFmt w:val="bullet"/>
      <w:lvlText w:val=""/>
      <w:lvlJc w:val="left"/>
      <w:pPr>
        <w:tabs>
          <w:tab w:val="left" w:pos="567"/>
        </w:tabs>
        <w:ind w:left="567" w:hanging="567"/>
      </w:pPr>
      <w:rPr>
        <w:rFonts w:hint="default" w:ascii="Wingdings" w:hAnsi="Wingdings"/>
        <w:b w:val="0"/>
        <w:i w:val="0"/>
        <w:sz w:val="24"/>
      </w:rPr>
    </w:lvl>
    <w:lvl w:ilvl="3" w:tentative="0">
      <w:start w:val="1"/>
      <w:numFmt w:val="japaneseCounting"/>
      <w:lvlText w:val="第%4章"/>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4AB1255E"/>
    <w:multiLevelType w:val="multilevel"/>
    <w:tmpl w:val="4AB1255E"/>
    <w:lvl w:ilvl="0" w:tentative="0">
      <w:start w:val="1"/>
      <w:numFmt w:val="decimal"/>
      <w:pStyle w:val="15"/>
      <w:lvlText w:val="(%1)"/>
      <w:lvlJc w:val="left"/>
      <w:pPr>
        <w:tabs>
          <w:tab w:val="left" w:pos="624"/>
        </w:tabs>
        <w:ind w:left="624" w:hanging="14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4B013C45"/>
    <w:multiLevelType w:val="multilevel"/>
    <w:tmpl w:val="4B013C45"/>
    <w:lvl w:ilvl="0" w:tentative="0">
      <w:start w:val="1"/>
      <w:numFmt w:val="none"/>
      <w:pStyle w:val="65"/>
      <w:lvlText w:val=""/>
      <w:lvlJc w:val="left"/>
      <w:pPr>
        <w:tabs>
          <w:tab w:val="left" w:pos="0"/>
        </w:tabs>
        <w:ind w:left="782" w:hanging="782"/>
      </w:pPr>
      <w:rPr>
        <w:rFonts w:hint="eastAsia"/>
      </w:rPr>
    </w:lvl>
    <w:lvl w:ilvl="1" w:tentative="0">
      <w:start w:val="1"/>
      <w:numFmt w:val="lowerLetter"/>
      <w:pStyle w:val="24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4FDE4F88"/>
    <w:multiLevelType w:val="multilevel"/>
    <w:tmpl w:val="4FDE4F88"/>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51E75BE6"/>
    <w:multiLevelType w:val="multilevel"/>
    <w:tmpl w:val="51E75BE6"/>
    <w:lvl w:ilvl="0" w:tentative="0">
      <w:start w:val="1"/>
      <w:numFmt w:val="decimal"/>
      <w:pStyle w:val="47"/>
      <w:lvlText w:val="（%1）"/>
      <w:lvlJc w:val="left"/>
      <w:pPr>
        <w:ind w:left="420" w:hanging="420"/>
      </w:pPr>
      <w:rPr>
        <w:rFonts w:ascii="Arial" w:hAnsi="Arial" w:eastAsia="楷体_GB2312" w:cs="Arial"/>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8B85638"/>
    <w:multiLevelType w:val="multilevel"/>
    <w:tmpl w:val="58B85638"/>
    <w:lvl w:ilvl="0" w:tentative="0">
      <w:start w:val="1"/>
      <w:numFmt w:val="decimal"/>
      <w:pStyle w:val="40"/>
      <w:lvlText w:val="（%1）"/>
      <w:lvlJc w:val="left"/>
      <w:pPr>
        <w:ind w:left="420" w:hanging="420"/>
      </w:pPr>
      <w:rPr>
        <w:rFonts w:ascii="Arial" w:hAnsi="Arial" w:eastAsia="楷体_GB2312" w:cs="Arial"/>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2326CE0"/>
    <w:multiLevelType w:val="multilevel"/>
    <w:tmpl w:val="62326CE0"/>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07F0CD9"/>
    <w:multiLevelType w:val="multilevel"/>
    <w:tmpl w:val="707F0CD9"/>
    <w:lvl w:ilvl="0" w:tentative="0">
      <w:start w:val="1"/>
      <w:numFmt w:val="lowerLetter"/>
      <w:lvlText w:val="%1)"/>
      <w:lvlJc w:val="left"/>
      <w:pPr>
        <w:tabs>
          <w:tab w:val="left" w:pos="420"/>
        </w:tabs>
        <w:ind w:left="420" w:hanging="420"/>
      </w:pPr>
      <w:rPr>
        <w:rFonts w:hint="default"/>
        <w:b/>
        <w:i w:val="0"/>
        <w:sz w:val="24"/>
        <w:szCs w:val="24"/>
      </w:rPr>
    </w:lvl>
    <w:lvl w:ilvl="1" w:tentative="0">
      <w:start w:val="1"/>
      <w:numFmt w:val="decimal"/>
      <w:lvlText w:val="1.%2"/>
      <w:lvlJc w:val="left"/>
      <w:pPr>
        <w:tabs>
          <w:tab w:val="left" w:pos="567"/>
        </w:tabs>
        <w:ind w:left="567" w:hanging="567"/>
      </w:pPr>
      <w:rPr>
        <w:rFonts w:hint="default" w:ascii="Arial" w:hAnsi="Arial"/>
        <w:b w:val="0"/>
        <w:i w:val="0"/>
        <w:sz w:val="24"/>
        <w:szCs w:val="24"/>
      </w:rPr>
    </w:lvl>
    <w:lvl w:ilvl="2" w:tentative="0">
      <w:start w:val="1"/>
      <w:numFmt w:val="decimal"/>
      <w:lvlText w:val="2.%3"/>
      <w:lvlJc w:val="left"/>
      <w:pPr>
        <w:tabs>
          <w:tab w:val="left" w:pos="567"/>
        </w:tabs>
        <w:ind w:left="567" w:hanging="567"/>
      </w:pPr>
      <w:rPr>
        <w:rFonts w:hint="default" w:ascii="Arial" w:hAnsi="Arial"/>
        <w:b w:val="0"/>
        <w:i w:val="0"/>
        <w:sz w:val="24"/>
        <w:szCs w:val="24"/>
      </w:rPr>
    </w:lvl>
    <w:lvl w:ilvl="3" w:tentative="0">
      <w:start w:val="1"/>
      <w:numFmt w:val="decimal"/>
      <w:lvlText w:val="3.%4"/>
      <w:lvlJc w:val="left"/>
      <w:pPr>
        <w:tabs>
          <w:tab w:val="left" w:pos="567"/>
        </w:tabs>
        <w:ind w:left="567" w:hanging="567"/>
      </w:pPr>
      <w:rPr>
        <w:rFonts w:hint="default" w:ascii="Arial" w:hAnsi="Arial"/>
        <w:b w:val="0"/>
        <w:i w:val="0"/>
        <w:sz w:val="24"/>
        <w:szCs w:val="24"/>
      </w:rPr>
    </w:lvl>
    <w:lvl w:ilvl="4" w:tentative="0">
      <w:start w:val="1"/>
      <w:numFmt w:val="decimal"/>
      <w:lvlText w:val="4.%5"/>
      <w:lvlJc w:val="left"/>
      <w:pPr>
        <w:tabs>
          <w:tab w:val="left" w:pos="567"/>
        </w:tabs>
        <w:ind w:left="567" w:hanging="567"/>
      </w:pPr>
      <w:rPr>
        <w:rFonts w:hint="default" w:ascii="Arial" w:hAnsi="Arial"/>
        <w:b w:val="0"/>
        <w:i w:val="0"/>
        <w:sz w:val="24"/>
        <w:szCs w:val="24"/>
      </w:rPr>
    </w:lvl>
    <w:lvl w:ilvl="5" w:tentative="0">
      <w:start w:val="1"/>
      <w:numFmt w:val="decimal"/>
      <w:lvlText w:val="（%6）"/>
      <w:lvlJc w:val="left"/>
      <w:pPr>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4A537F9"/>
    <w:multiLevelType w:val="multilevel"/>
    <w:tmpl w:val="74A537F9"/>
    <w:lvl w:ilvl="0" w:tentative="0">
      <w:start w:val="1"/>
      <w:numFmt w:val="decimal"/>
      <w:pStyle w:val="18"/>
      <w:lvlText w:val="26.%1"/>
      <w:lvlJc w:val="left"/>
      <w:pPr>
        <w:tabs>
          <w:tab w:val="left" w:pos="567"/>
        </w:tabs>
        <w:ind w:left="567" w:hanging="567"/>
      </w:pPr>
      <w:rPr>
        <w:rFonts w:hint="eastAsia"/>
      </w:rPr>
    </w:lvl>
    <w:lvl w:ilvl="1" w:tentative="0">
      <w:start w:val="2"/>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A380437"/>
    <w:multiLevelType w:val="multilevel"/>
    <w:tmpl w:val="7A38043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BB068FF"/>
    <w:multiLevelType w:val="multilevel"/>
    <w:tmpl w:val="7BB068F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5"/>
  </w:num>
  <w:num w:numId="2">
    <w:abstractNumId w:val="42"/>
  </w:num>
  <w:num w:numId="3">
    <w:abstractNumId w:val="7"/>
  </w:num>
  <w:num w:numId="4">
    <w:abstractNumId w:val="30"/>
  </w:num>
  <w:num w:numId="5">
    <w:abstractNumId w:val="25"/>
  </w:num>
  <w:num w:numId="6">
    <w:abstractNumId w:val="27"/>
  </w:num>
  <w:num w:numId="7">
    <w:abstractNumId w:val="39"/>
  </w:num>
  <w:num w:numId="8">
    <w:abstractNumId w:val="33"/>
  </w:num>
  <w:num w:numId="9">
    <w:abstractNumId w:val="38"/>
  </w:num>
  <w:num w:numId="10">
    <w:abstractNumId w:val="36"/>
  </w:num>
  <w:num w:numId="11">
    <w:abstractNumId w:val="4"/>
  </w:num>
  <w:num w:numId="12">
    <w:abstractNumId w:val="44"/>
  </w:num>
  <w:num w:numId="13">
    <w:abstractNumId w:val="28"/>
  </w:num>
  <w:num w:numId="14">
    <w:abstractNumId w:val="22"/>
  </w:num>
  <w:num w:numId="15">
    <w:abstractNumId w:val="11"/>
  </w:num>
  <w:num w:numId="16">
    <w:abstractNumId w:val="6"/>
  </w:num>
  <w:num w:numId="17">
    <w:abstractNumId w:val="41"/>
  </w:num>
  <w:num w:numId="18">
    <w:abstractNumId w:val="43"/>
  </w:num>
  <w:num w:numId="19">
    <w:abstractNumId w:val="29"/>
  </w:num>
  <w:num w:numId="20">
    <w:abstractNumId w:val="17"/>
  </w:num>
  <w:num w:numId="21">
    <w:abstractNumId w:val="10"/>
  </w:num>
  <w:num w:numId="22">
    <w:abstractNumId w:val="34"/>
  </w:num>
  <w:num w:numId="23">
    <w:abstractNumId w:val="21"/>
  </w:num>
  <w:num w:numId="24">
    <w:abstractNumId w:val="1"/>
  </w:num>
  <w:num w:numId="25">
    <w:abstractNumId w:val="3"/>
  </w:num>
  <w:num w:numId="26">
    <w:abstractNumId w:val="31"/>
  </w:num>
  <w:num w:numId="27">
    <w:abstractNumId w:val="12"/>
  </w:num>
  <w:num w:numId="28">
    <w:abstractNumId w:val="40"/>
  </w:num>
  <w:num w:numId="29">
    <w:abstractNumId w:val="15"/>
  </w:num>
  <w:num w:numId="30">
    <w:abstractNumId w:val="19"/>
  </w:num>
  <w:num w:numId="31">
    <w:abstractNumId w:val="8"/>
  </w:num>
  <w:num w:numId="32">
    <w:abstractNumId w:val="14"/>
  </w:num>
  <w:num w:numId="33">
    <w:abstractNumId w:val="23"/>
  </w:num>
  <w:num w:numId="34">
    <w:abstractNumId w:val="18"/>
  </w:num>
  <w:num w:numId="35">
    <w:abstractNumId w:val="16"/>
  </w:num>
  <w:num w:numId="36">
    <w:abstractNumId w:val="9"/>
  </w:num>
  <w:num w:numId="37">
    <w:abstractNumId w:val="2"/>
  </w:num>
  <w:num w:numId="38">
    <w:abstractNumId w:val="37"/>
  </w:num>
  <w:num w:numId="39">
    <w:abstractNumId w:val="5"/>
  </w:num>
  <w:num w:numId="40">
    <w:abstractNumId w:val="13"/>
  </w:num>
  <w:num w:numId="41">
    <w:abstractNumId w:val="24"/>
  </w:num>
  <w:num w:numId="42">
    <w:abstractNumId w:val="0"/>
  </w:num>
  <w:num w:numId="43">
    <w:abstractNumId w:val="20"/>
  </w:num>
  <w:num w:numId="44">
    <w:abstractNumId w:val="26"/>
  </w:num>
  <w:num w:numId="45">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子淳">
    <w15:presenceInfo w15:providerId="Windows Live" w15:userId="0e0f11505bee7c5c"/>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4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AE"/>
    <w:rsid w:val="0000018B"/>
    <w:rsid w:val="00000A58"/>
    <w:rsid w:val="000013D8"/>
    <w:rsid w:val="000017C1"/>
    <w:rsid w:val="000019CD"/>
    <w:rsid w:val="0000236C"/>
    <w:rsid w:val="00002D9F"/>
    <w:rsid w:val="00003637"/>
    <w:rsid w:val="00003891"/>
    <w:rsid w:val="0000438A"/>
    <w:rsid w:val="00004DF6"/>
    <w:rsid w:val="00004E2D"/>
    <w:rsid w:val="00005649"/>
    <w:rsid w:val="000060AB"/>
    <w:rsid w:val="00007193"/>
    <w:rsid w:val="00007351"/>
    <w:rsid w:val="00007520"/>
    <w:rsid w:val="000077AB"/>
    <w:rsid w:val="0000784B"/>
    <w:rsid w:val="00007850"/>
    <w:rsid w:val="00010BAA"/>
    <w:rsid w:val="00010C50"/>
    <w:rsid w:val="000110CF"/>
    <w:rsid w:val="0001186C"/>
    <w:rsid w:val="000118AE"/>
    <w:rsid w:val="0001190B"/>
    <w:rsid w:val="00012399"/>
    <w:rsid w:val="000134AA"/>
    <w:rsid w:val="000142A1"/>
    <w:rsid w:val="00014DCB"/>
    <w:rsid w:val="00014DDD"/>
    <w:rsid w:val="0001521C"/>
    <w:rsid w:val="000153C8"/>
    <w:rsid w:val="0001625A"/>
    <w:rsid w:val="00016943"/>
    <w:rsid w:val="00016BF0"/>
    <w:rsid w:val="0002054F"/>
    <w:rsid w:val="00020930"/>
    <w:rsid w:val="00020A3B"/>
    <w:rsid w:val="00020E98"/>
    <w:rsid w:val="00021F3B"/>
    <w:rsid w:val="00022DD5"/>
    <w:rsid w:val="0002337B"/>
    <w:rsid w:val="0002338D"/>
    <w:rsid w:val="000235FB"/>
    <w:rsid w:val="000236DF"/>
    <w:rsid w:val="00023B46"/>
    <w:rsid w:val="00023B82"/>
    <w:rsid w:val="00023C2C"/>
    <w:rsid w:val="00023E26"/>
    <w:rsid w:val="0002419B"/>
    <w:rsid w:val="00024525"/>
    <w:rsid w:val="00024663"/>
    <w:rsid w:val="000248E6"/>
    <w:rsid w:val="00024B55"/>
    <w:rsid w:val="00024B71"/>
    <w:rsid w:val="0002511D"/>
    <w:rsid w:val="00025349"/>
    <w:rsid w:val="000266DD"/>
    <w:rsid w:val="00026D90"/>
    <w:rsid w:val="000277A3"/>
    <w:rsid w:val="00030466"/>
    <w:rsid w:val="0003048C"/>
    <w:rsid w:val="00030676"/>
    <w:rsid w:val="0003179E"/>
    <w:rsid w:val="00031851"/>
    <w:rsid w:val="00031DA0"/>
    <w:rsid w:val="000320F5"/>
    <w:rsid w:val="00032696"/>
    <w:rsid w:val="00032718"/>
    <w:rsid w:val="0003283B"/>
    <w:rsid w:val="00033280"/>
    <w:rsid w:val="0003344A"/>
    <w:rsid w:val="0003347B"/>
    <w:rsid w:val="00033A49"/>
    <w:rsid w:val="00033F8C"/>
    <w:rsid w:val="000343AD"/>
    <w:rsid w:val="00036167"/>
    <w:rsid w:val="000371D9"/>
    <w:rsid w:val="00037401"/>
    <w:rsid w:val="000401F2"/>
    <w:rsid w:val="000409C2"/>
    <w:rsid w:val="00041C67"/>
    <w:rsid w:val="000421CB"/>
    <w:rsid w:val="0004262D"/>
    <w:rsid w:val="00042906"/>
    <w:rsid w:val="00042FC3"/>
    <w:rsid w:val="000432C4"/>
    <w:rsid w:val="00044EDF"/>
    <w:rsid w:val="000457E0"/>
    <w:rsid w:val="00045963"/>
    <w:rsid w:val="00046772"/>
    <w:rsid w:val="000468D0"/>
    <w:rsid w:val="00046AEA"/>
    <w:rsid w:val="00046D30"/>
    <w:rsid w:val="00047078"/>
    <w:rsid w:val="00047228"/>
    <w:rsid w:val="000478E8"/>
    <w:rsid w:val="0005113B"/>
    <w:rsid w:val="000513E0"/>
    <w:rsid w:val="0005212A"/>
    <w:rsid w:val="0005250B"/>
    <w:rsid w:val="000527FC"/>
    <w:rsid w:val="00053D55"/>
    <w:rsid w:val="000543D5"/>
    <w:rsid w:val="000546D3"/>
    <w:rsid w:val="00054BE9"/>
    <w:rsid w:val="0005566A"/>
    <w:rsid w:val="00055876"/>
    <w:rsid w:val="00055F94"/>
    <w:rsid w:val="000562C8"/>
    <w:rsid w:val="00056882"/>
    <w:rsid w:val="00056AA9"/>
    <w:rsid w:val="00056C77"/>
    <w:rsid w:val="0006040D"/>
    <w:rsid w:val="000607F5"/>
    <w:rsid w:val="000608F0"/>
    <w:rsid w:val="00060C35"/>
    <w:rsid w:val="000610FF"/>
    <w:rsid w:val="00061C56"/>
    <w:rsid w:val="000623EA"/>
    <w:rsid w:val="0006362A"/>
    <w:rsid w:val="00063A85"/>
    <w:rsid w:val="00063B34"/>
    <w:rsid w:val="00063BD2"/>
    <w:rsid w:val="00063DBE"/>
    <w:rsid w:val="00063E71"/>
    <w:rsid w:val="00064851"/>
    <w:rsid w:val="00064D6C"/>
    <w:rsid w:val="00064EA7"/>
    <w:rsid w:val="000665DD"/>
    <w:rsid w:val="000665F8"/>
    <w:rsid w:val="000676D6"/>
    <w:rsid w:val="00067923"/>
    <w:rsid w:val="00067A62"/>
    <w:rsid w:val="0007049C"/>
    <w:rsid w:val="00070713"/>
    <w:rsid w:val="000708AF"/>
    <w:rsid w:val="000709FB"/>
    <w:rsid w:val="000713F1"/>
    <w:rsid w:val="00071D02"/>
    <w:rsid w:val="00072541"/>
    <w:rsid w:val="000726CF"/>
    <w:rsid w:val="00072BD6"/>
    <w:rsid w:val="00072CC2"/>
    <w:rsid w:val="00073D1D"/>
    <w:rsid w:val="00074269"/>
    <w:rsid w:val="00074AAC"/>
    <w:rsid w:val="00075424"/>
    <w:rsid w:val="0007592B"/>
    <w:rsid w:val="00075D53"/>
    <w:rsid w:val="00075F3A"/>
    <w:rsid w:val="00076003"/>
    <w:rsid w:val="00076A02"/>
    <w:rsid w:val="00077864"/>
    <w:rsid w:val="00077C19"/>
    <w:rsid w:val="00080032"/>
    <w:rsid w:val="0008029D"/>
    <w:rsid w:val="00080999"/>
    <w:rsid w:val="00080DD2"/>
    <w:rsid w:val="000814E0"/>
    <w:rsid w:val="00081923"/>
    <w:rsid w:val="000822DE"/>
    <w:rsid w:val="00082388"/>
    <w:rsid w:val="00082862"/>
    <w:rsid w:val="00082D42"/>
    <w:rsid w:val="000832A1"/>
    <w:rsid w:val="0008362F"/>
    <w:rsid w:val="000847A9"/>
    <w:rsid w:val="00084AD8"/>
    <w:rsid w:val="00085234"/>
    <w:rsid w:val="0008548E"/>
    <w:rsid w:val="00085809"/>
    <w:rsid w:val="0008682C"/>
    <w:rsid w:val="000868AD"/>
    <w:rsid w:val="000877ED"/>
    <w:rsid w:val="000878E7"/>
    <w:rsid w:val="00090640"/>
    <w:rsid w:val="00090CC3"/>
    <w:rsid w:val="000924EC"/>
    <w:rsid w:val="00092E92"/>
    <w:rsid w:val="0009306C"/>
    <w:rsid w:val="0009333A"/>
    <w:rsid w:val="00093718"/>
    <w:rsid w:val="000940B5"/>
    <w:rsid w:val="00094281"/>
    <w:rsid w:val="000947E1"/>
    <w:rsid w:val="00095313"/>
    <w:rsid w:val="000958DE"/>
    <w:rsid w:val="00095EE5"/>
    <w:rsid w:val="000960AD"/>
    <w:rsid w:val="00096674"/>
    <w:rsid w:val="000969BD"/>
    <w:rsid w:val="00096FD3"/>
    <w:rsid w:val="000A0DC8"/>
    <w:rsid w:val="000A2C12"/>
    <w:rsid w:val="000A332A"/>
    <w:rsid w:val="000A366C"/>
    <w:rsid w:val="000A38A0"/>
    <w:rsid w:val="000A50CE"/>
    <w:rsid w:val="000A59AD"/>
    <w:rsid w:val="000A5D3F"/>
    <w:rsid w:val="000A5F45"/>
    <w:rsid w:val="000A60BB"/>
    <w:rsid w:val="000A7028"/>
    <w:rsid w:val="000A741D"/>
    <w:rsid w:val="000A7681"/>
    <w:rsid w:val="000B1C9E"/>
    <w:rsid w:val="000B21FF"/>
    <w:rsid w:val="000B2268"/>
    <w:rsid w:val="000B2D64"/>
    <w:rsid w:val="000B2FAD"/>
    <w:rsid w:val="000B4E0F"/>
    <w:rsid w:val="000B4EAB"/>
    <w:rsid w:val="000B53EE"/>
    <w:rsid w:val="000B5442"/>
    <w:rsid w:val="000B564A"/>
    <w:rsid w:val="000B6857"/>
    <w:rsid w:val="000B6CF5"/>
    <w:rsid w:val="000B6F87"/>
    <w:rsid w:val="000B7851"/>
    <w:rsid w:val="000B7BAA"/>
    <w:rsid w:val="000C057D"/>
    <w:rsid w:val="000C0C0E"/>
    <w:rsid w:val="000C1CAD"/>
    <w:rsid w:val="000C1DF4"/>
    <w:rsid w:val="000C1F05"/>
    <w:rsid w:val="000C220B"/>
    <w:rsid w:val="000C232D"/>
    <w:rsid w:val="000C234D"/>
    <w:rsid w:val="000C2D4B"/>
    <w:rsid w:val="000C2D4D"/>
    <w:rsid w:val="000C3659"/>
    <w:rsid w:val="000C3AA8"/>
    <w:rsid w:val="000C3FB8"/>
    <w:rsid w:val="000C402C"/>
    <w:rsid w:val="000C4321"/>
    <w:rsid w:val="000C5114"/>
    <w:rsid w:val="000C6456"/>
    <w:rsid w:val="000C64B0"/>
    <w:rsid w:val="000C6F34"/>
    <w:rsid w:val="000C7487"/>
    <w:rsid w:val="000D01D7"/>
    <w:rsid w:val="000D08CF"/>
    <w:rsid w:val="000D0BD7"/>
    <w:rsid w:val="000D0BE8"/>
    <w:rsid w:val="000D0C14"/>
    <w:rsid w:val="000D1BE6"/>
    <w:rsid w:val="000D2245"/>
    <w:rsid w:val="000D22C4"/>
    <w:rsid w:val="000D2CEB"/>
    <w:rsid w:val="000D32AC"/>
    <w:rsid w:val="000D46CA"/>
    <w:rsid w:val="000D50C9"/>
    <w:rsid w:val="000D53A7"/>
    <w:rsid w:val="000D5D8A"/>
    <w:rsid w:val="000D6844"/>
    <w:rsid w:val="000D6938"/>
    <w:rsid w:val="000D6FCD"/>
    <w:rsid w:val="000D7C97"/>
    <w:rsid w:val="000E08A4"/>
    <w:rsid w:val="000E0956"/>
    <w:rsid w:val="000E12BA"/>
    <w:rsid w:val="000E155F"/>
    <w:rsid w:val="000E15C8"/>
    <w:rsid w:val="000E1638"/>
    <w:rsid w:val="000E1786"/>
    <w:rsid w:val="000E1F10"/>
    <w:rsid w:val="000E23F4"/>
    <w:rsid w:val="000E2C5D"/>
    <w:rsid w:val="000E2D9F"/>
    <w:rsid w:val="000E324C"/>
    <w:rsid w:val="000E32A0"/>
    <w:rsid w:val="000E3B50"/>
    <w:rsid w:val="000E3C38"/>
    <w:rsid w:val="000E4075"/>
    <w:rsid w:val="000E57C4"/>
    <w:rsid w:val="000E5E45"/>
    <w:rsid w:val="000E68D0"/>
    <w:rsid w:val="000E6971"/>
    <w:rsid w:val="000E6C3E"/>
    <w:rsid w:val="000E6CA8"/>
    <w:rsid w:val="000E6DE8"/>
    <w:rsid w:val="000F0941"/>
    <w:rsid w:val="000F0AAF"/>
    <w:rsid w:val="000F0C10"/>
    <w:rsid w:val="000F0CE3"/>
    <w:rsid w:val="000F0D53"/>
    <w:rsid w:val="000F1561"/>
    <w:rsid w:val="000F2735"/>
    <w:rsid w:val="000F4997"/>
    <w:rsid w:val="000F4CC9"/>
    <w:rsid w:val="000F500B"/>
    <w:rsid w:val="000F536A"/>
    <w:rsid w:val="000F69C5"/>
    <w:rsid w:val="000F6B1B"/>
    <w:rsid w:val="000F6C5F"/>
    <w:rsid w:val="000F6E6D"/>
    <w:rsid w:val="000F6FDB"/>
    <w:rsid w:val="000F769E"/>
    <w:rsid w:val="000F79B2"/>
    <w:rsid w:val="000F7B07"/>
    <w:rsid w:val="000F7C58"/>
    <w:rsid w:val="000F7D6E"/>
    <w:rsid w:val="001004A3"/>
    <w:rsid w:val="001004EA"/>
    <w:rsid w:val="001005AB"/>
    <w:rsid w:val="00100E04"/>
    <w:rsid w:val="001010FC"/>
    <w:rsid w:val="0010120B"/>
    <w:rsid w:val="00101782"/>
    <w:rsid w:val="001017D4"/>
    <w:rsid w:val="00102B2F"/>
    <w:rsid w:val="001031FE"/>
    <w:rsid w:val="00103D28"/>
    <w:rsid w:val="00103D7B"/>
    <w:rsid w:val="001045B1"/>
    <w:rsid w:val="001046F0"/>
    <w:rsid w:val="00104A50"/>
    <w:rsid w:val="0010518A"/>
    <w:rsid w:val="00105369"/>
    <w:rsid w:val="001061DF"/>
    <w:rsid w:val="00106E8E"/>
    <w:rsid w:val="00106F92"/>
    <w:rsid w:val="001074B0"/>
    <w:rsid w:val="0010761D"/>
    <w:rsid w:val="00107A32"/>
    <w:rsid w:val="001100A8"/>
    <w:rsid w:val="001107E9"/>
    <w:rsid w:val="00110B1E"/>
    <w:rsid w:val="00110CD9"/>
    <w:rsid w:val="001110F2"/>
    <w:rsid w:val="001114A4"/>
    <w:rsid w:val="001127A0"/>
    <w:rsid w:val="00112EC9"/>
    <w:rsid w:val="0011316B"/>
    <w:rsid w:val="0011398F"/>
    <w:rsid w:val="00113E44"/>
    <w:rsid w:val="0011446F"/>
    <w:rsid w:val="0011494B"/>
    <w:rsid w:val="00114D7E"/>
    <w:rsid w:val="001151A9"/>
    <w:rsid w:val="00115816"/>
    <w:rsid w:val="00116232"/>
    <w:rsid w:val="00116BEC"/>
    <w:rsid w:val="001171EF"/>
    <w:rsid w:val="00117611"/>
    <w:rsid w:val="001177C6"/>
    <w:rsid w:val="00120112"/>
    <w:rsid w:val="00120322"/>
    <w:rsid w:val="00120376"/>
    <w:rsid w:val="00120D9D"/>
    <w:rsid w:val="00120FF9"/>
    <w:rsid w:val="001213A1"/>
    <w:rsid w:val="001215C3"/>
    <w:rsid w:val="001222D5"/>
    <w:rsid w:val="0012315C"/>
    <w:rsid w:val="0012346E"/>
    <w:rsid w:val="00123973"/>
    <w:rsid w:val="00123BDC"/>
    <w:rsid w:val="001245C5"/>
    <w:rsid w:val="00124A43"/>
    <w:rsid w:val="001256E3"/>
    <w:rsid w:val="00125A34"/>
    <w:rsid w:val="00125C83"/>
    <w:rsid w:val="00126072"/>
    <w:rsid w:val="00127539"/>
    <w:rsid w:val="00127898"/>
    <w:rsid w:val="00127BF5"/>
    <w:rsid w:val="00130B2A"/>
    <w:rsid w:val="0013117B"/>
    <w:rsid w:val="00131C76"/>
    <w:rsid w:val="001327F9"/>
    <w:rsid w:val="001328AA"/>
    <w:rsid w:val="00132EC8"/>
    <w:rsid w:val="001333EB"/>
    <w:rsid w:val="001339DB"/>
    <w:rsid w:val="00133E8C"/>
    <w:rsid w:val="0013409C"/>
    <w:rsid w:val="00134175"/>
    <w:rsid w:val="00134418"/>
    <w:rsid w:val="001344B1"/>
    <w:rsid w:val="0013482F"/>
    <w:rsid w:val="00134C7B"/>
    <w:rsid w:val="00135930"/>
    <w:rsid w:val="00135A2E"/>
    <w:rsid w:val="00135C49"/>
    <w:rsid w:val="0013644D"/>
    <w:rsid w:val="001371F0"/>
    <w:rsid w:val="00137223"/>
    <w:rsid w:val="00137377"/>
    <w:rsid w:val="001378F7"/>
    <w:rsid w:val="00137CF2"/>
    <w:rsid w:val="00137FBF"/>
    <w:rsid w:val="00140055"/>
    <w:rsid w:val="001409EF"/>
    <w:rsid w:val="00140EF4"/>
    <w:rsid w:val="001410E9"/>
    <w:rsid w:val="0014117D"/>
    <w:rsid w:val="00142CEC"/>
    <w:rsid w:val="00142DAF"/>
    <w:rsid w:val="001436D0"/>
    <w:rsid w:val="00143CE9"/>
    <w:rsid w:val="0014402E"/>
    <w:rsid w:val="00144401"/>
    <w:rsid w:val="00144CDB"/>
    <w:rsid w:val="00145347"/>
    <w:rsid w:val="00146905"/>
    <w:rsid w:val="00146D74"/>
    <w:rsid w:val="0014727E"/>
    <w:rsid w:val="00147969"/>
    <w:rsid w:val="00147BF2"/>
    <w:rsid w:val="0015188A"/>
    <w:rsid w:val="00151951"/>
    <w:rsid w:val="00151CF5"/>
    <w:rsid w:val="00152308"/>
    <w:rsid w:val="00152486"/>
    <w:rsid w:val="00152C86"/>
    <w:rsid w:val="00152D76"/>
    <w:rsid w:val="00152FD6"/>
    <w:rsid w:val="00153033"/>
    <w:rsid w:val="00153405"/>
    <w:rsid w:val="0015345E"/>
    <w:rsid w:val="0015362E"/>
    <w:rsid w:val="0015366A"/>
    <w:rsid w:val="0015396F"/>
    <w:rsid w:val="001544BB"/>
    <w:rsid w:val="00155020"/>
    <w:rsid w:val="001550AE"/>
    <w:rsid w:val="00155A75"/>
    <w:rsid w:val="001568B0"/>
    <w:rsid w:val="00156A4A"/>
    <w:rsid w:val="00156C94"/>
    <w:rsid w:val="00156E4B"/>
    <w:rsid w:val="00157BBC"/>
    <w:rsid w:val="0016070C"/>
    <w:rsid w:val="001617CC"/>
    <w:rsid w:val="00161C72"/>
    <w:rsid w:val="0016242E"/>
    <w:rsid w:val="00163392"/>
    <w:rsid w:val="00163518"/>
    <w:rsid w:val="00163A1D"/>
    <w:rsid w:val="00163D3D"/>
    <w:rsid w:val="00163F90"/>
    <w:rsid w:val="0016468B"/>
    <w:rsid w:val="00164C14"/>
    <w:rsid w:val="00164FC5"/>
    <w:rsid w:val="00165CAB"/>
    <w:rsid w:val="00166936"/>
    <w:rsid w:val="00166A9F"/>
    <w:rsid w:val="00166B3D"/>
    <w:rsid w:val="00166FFA"/>
    <w:rsid w:val="001672C7"/>
    <w:rsid w:val="00167568"/>
    <w:rsid w:val="001677E8"/>
    <w:rsid w:val="00170257"/>
    <w:rsid w:val="0017230D"/>
    <w:rsid w:val="00173081"/>
    <w:rsid w:val="00173220"/>
    <w:rsid w:val="00173E2F"/>
    <w:rsid w:val="00173E6A"/>
    <w:rsid w:val="00173ED2"/>
    <w:rsid w:val="0017414A"/>
    <w:rsid w:val="00175560"/>
    <w:rsid w:val="001756B8"/>
    <w:rsid w:val="001769C3"/>
    <w:rsid w:val="00177ADB"/>
    <w:rsid w:val="00177CDF"/>
    <w:rsid w:val="00177F4E"/>
    <w:rsid w:val="00180814"/>
    <w:rsid w:val="00181496"/>
    <w:rsid w:val="00181A1C"/>
    <w:rsid w:val="00182034"/>
    <w:rsid w:val="0018246D"/>
    <w:rsid w:val="00182C9D"/>
    <w:rsid w:val="00183215"/>
    <w:rsid w:val="00184679"/>
    <w:rsid w:val="00184CCD"/>
    <w:rsid w:val="0018528C"/>
    <w:rsid w:val="00185531"/>
    <w:rsid w:val="00185C8C"/>
    <w:rsid w:val="0018655A"/>
    <w:rsid w:val="00186B15"/>
    <w:rsid w:val="0018719B"/>
    <w:rsid w:val="00187206"/>
    <w:rsid w:val="001878B1"/>
    <w:rsid w:val="00187B8D"/>
    <w:rsid w:val="001901A6"/>
    <w:rsid w:val="00191938"/>
    <w:rsid w:val="001924FB"/>
    <w:rsid w:val="0019287D"/>
    <w:rsid w:val="0019420E"/>
    <w:rsid w:val="00194B5A"/>
    <w:rsid w:val="00195188"/>
    <w:rsid w:val="001958C9"/>
    <w:rsid w:val="00196322"/>
    <w:rsid w:val="00196825"/>
    <w:rsid w:val="0019687E"/>
    <w:rsid w:val="00196D30"/>
    <w:rsid w:val="001971E4"/>
    <w:rsid w:val="00197AD4"/>
    <w:rsid w:val="00197AF1"/>
    <w:rsid w:val="001A03B8"/>
    <w:rsid w:val="001A0499"/>
    <w:rsid w:val="001A062A"/>
    <w:rsid w:val="001A10A9"/>
    <w:rsid w:val="001A10BE"/>
    <w:rsid w:val="001A1175"/>
    <w:rsid w:val="001A12F6"/>
    <w:rsid w:val="001A1DF6"/>
    <w:rsid w:val="001A24C8"/>
    <w:rsid w:val="001A2CEF"/>
    <w:rsid w:val="001A43B1"/>
    <w:rsid w:val="001A4954"/>
    <w:rsid w:val="001A4A37"/>
    <w:rsid w:val="001A60D6"/>
    <w:rsid w:val="001A655A"/>
    <w:rsid w:val="001A6764"/>
    <w:rsid w:val="001A6A31"/>
    <w:rsid w:val="001A6DCF"/>
    <w:rsid w:val="001A6FC0"/>
    <w:rsid w:val="001B034D"/>
    <w:rsid w:val="001B0D83"/>
    <w:rsid w:val="001B0EC1"/>
    <w:rsid w:val="001B169E"/>
    <w:rsid w:val="001B1D6A"/>
    <w:rsid w:val="001B1DE2"/>
    <w:rsid w:val="001B1E02"/>
    <w:rsid w:val="001B1F4F"/>
    <w:rsid w:val="001B21A3"/>
    <w:rsid w:val="001B2311"/>
    <w:rsid w:val="001B2875"/>
    <w:rsid w:val="001B3FA2"/>
    <w:rsid w:val="001B4184"/>
    <w:rsid w:val="001B4693"/>
    <w:rsid w:val="001B4BE7"/>
    <w:rsid w:val="001B540B"/>
    <w:rsid w:val="001B5F5D"/>
    <w:rsid w:val="001B613E"/>
    <w:rsid w:val="001B784D"/>
    <w:rsid w:val="001B7A9E"/>
    <w:rsid w:val="001C024E"/>
    <w:rsid w:val="001C033C"/>
    <w:rsid w:val="001C0649"/>
    <w:rsid w:val="001C0A49"/>
    <w:rsid w:val="001C0AA1"/>
    <w:rsid w:val="001C0E4A"/>
    <w:rsid w:val="001C253E"/>
    <w:rsid w:val="001C2A8D"/>
    <w:rsid w:val="001C2FA9"/>
    <w:rsid w:val="001C4A22"/>
    <w:rsid w:val="001C4B42"/>
    <w:rsid w:val="001C5CEF"/>
    <w:rsid w:val="001C5F0B"/>
    <w:rsid w:val="001C68C0"/>
    <w:rsid w:val="001C6EDA"/>
    <w:rsid w:val="001C6FC0"/>
    <w:rsid w:val="001C784E"/>
    <w:rsid w:val="001C7A40"/>
    <w:rsid w:val="001D0510"/>
    <w:rsid w:val="001D09BA"/>
    <w:rsid w:val="001D182F"/>
    <w:rsid w:val="001D1DE8"/>
    <w:rsid w:val="001D2E0F"/>
    <w:rsid w:val="001D3303"/>
    <w:rsid w:val="001D3A3E"/>
    <w:rsid w:val="001D41D1"/>
    <w:rsid w:val="001D4322"/>
    <w:rsid w:val="001D4440"/>
    <w:rsid w:val="001D4887"/>
    <w:rsid w:val="001D6609"/>
    <w:rsid w:val="001D7CA1"/>
    <w:rsid w:val="001E0288"/>
    <w:rsid w:val="001E05D5"/>
    <w:rsid w:val="001E068B"/>
    <w:rsid w:val="001E0795"/>
    <w:rsid w:val="001E07D2"/>
    <w:rsid w:val="001E1359"/>
    <w:rsid w:val="001E1AA8"/>
    <w:rsid w:val="001E21AD"/>
    <w:rsid w:val="001E21EF"/>
    <w:rsid w:val="001E3F52"/>
    <w:rsid w:val="001E4320"/>
    <w:rsid w:val="001E5B78"/>
    <w:rsid w:val="001E5E0C"/>
    <w:rsid w:val="001E603C"/>
    <w:rsid w:val="001E65E2"/>
    <w:rsid w:val="001E665D"/>
    <w:rsid w:val="001E669F"/>
    <w:rsid w:val="001E6BF5"/>
    <w:rsid w:val="001E6F3F"/>
    <w:rsid w:val="001E7868"/>
    <w:rsid w:val="001E7FA7"/>
    <w:rsid w:val="001F0925"/>
    <w:rsid w:val="001F0C95"/>
    <w:rsid w:val="001F1025"/>
    <w:rsid w:val="001F2493"/>
    <w:rsid w:val="001F2BC5"/>
    <w:rsid w:val="001F394B"/>
    <w:rsid w:val="001F3D83"/>
    <w:rsid w:val="001F529C"/>
    <w:rsid w:val="001F5DCD"/>
    <w:rsid w:val="001F67F9"/>
    <w:rsid w:val="001F6D4E"/>
    <w:rsid w:val="001F74D4"/>
    <w:rsid w:val="001F74D8"/>
    <w:rsid w:val="001F76FF"/>
    <w:rsid w:val="001F7805"/>
    <w:rsid w:val="001F79C6"/>
    <w:rsid w:val="001F7C5C"/>
    <w:rsid w:val="001F7CF9"/>
    <w:rsid w:val="00200A50"/>
    <w:rsid w:val="00200BB2"/>
    <w:rsid w:val="002010F1"/>
    <w:rsid w:val="002019E7"/>
    <w:rsid w:val="00202189"/>
    <w:rsid w:val="00202F5A"/>
    <w:rsid w:val="0020319F"/>
    <w:rsid w:val="002031C5"/>
    <w:rsid w:val="0020358C"/>
    <w:rsid w:val="002037C5"/>
    <w:rsid w:val="00203843"/>
    <w:rsid w:val="00203C31"/>
    <w:rsid w:val="00204075"/>
    <w:rsid w:val="0020446C"/>
    <w:rsid w:val="0020475E"/>
    <w:rsid w:val="00205C15"/>
    <w:rsid w:val="00205CBE"/>
    <w:rsid w:val="00206B3D"/>
    <w:rsid w:val="002073B4"/>
    <w:rsid w:val="002104D0"/>
    <w:rsid w:val="00210CB7"/>
    <w:rsid w:val="002111FF"/>
    <w:rsid w:val="002113F0"/>
    <w:rsid w:val="00211E91"/>
    <w:rsid w:val="0021247B"/>
    <w:rsid w:val="00212532"/>
    <w:rsid w:val="0021264F"/>
    <w:rsid w:val="00212957"/>
    <w:rsid w:val="002129CF"/>
    <w:rsid w:val="0021327E"/>
    <w:rsid w:val="002132D6"/>
    <w:rsid w:val="002143BA"/>
    <w:rsid w:val="0021477D"/>
    <w:rsid w:val="00215711"/>
    <w:rsid w:val="002159EA"/>
    <w:rsid w:val="0021672D"/>
    <w:rsid w:val="002170E5"/>
    <w:rsid w:val="002171CA"/>
    <w:rsid w:val="00217377"/>
    <w:rsid w:val="002176F6"/>
    <w:rsid w:val="002202DB"/>
    <w:rsid w:val="002202F6"/>
    <w:rsid w:val="00222734"/>
    <w:rsid w:val="00222930"/>
    <w:rsid w:val="00222E3D"/>
    <w:rsid w:val="0022321F"/>
    <w:rsid w:val="0022348E"/>
    <w:rsid w:val="0022369D"/>
    <w:rsid w:val="00223FAA"/>
    <w:rsid w:val="0022409D"/>
    <w:rsid w:val="00225C88"/>
    <w:rsid w:val="00225DB5"/>
    <w:rsid w:val="00226301"/>
    <w:rsid w:val="002266E0"/>
    <w:rsid w:val="00226D76"/>
    <w:rsid w:val="00226E46"/>
    <w:rsid w:val="00230885"/>
    <w:rsid w:val="00230A29"/>
    <w:rsid w:val="00231BE0"/>
    <w:rsid w:val="00231FAB"/>
    <w:rsid w:val="00232491"/>
    <w:rsid w:val="00232744"/>
    <w:rsid w:val="00232F92"/>
    <w:rsid w:val="0023370C"/>
    <w:rsid w:val="002342C5"/>
    <w:rsid w:val="00234738"/>
    <w:rsid w:val="00234AAC"/>
    <w:rsid w:val="00234ACB"/>
    <w:rsid w:val="002352FE"/>
    <w:rsid w:val="00235AC9"/>
    <w:rsid w:val="00235C25"/>
    <w:rsid w:val="00236462"/>
    <w:rsid w:val="00237CAF"/>
    <w:rsid w:val="00240D07"/>
    <w:rsid w:val="00241608"/>
    <w:rsid w:val="002417D0"/>
    <w:rsid w:val="002418AC"/>
    <w:rsid w:val="00241A6A"/>
    <w:rsid w:val="0024267D"/>
    <w:rsid w:val="00243008"/>
    <w:rsid w:val="00243833"/>
    <w:rsid w:val="0024481F"/>
    <w:rsid w:val="00244FAF"/>
    <w:rsid w:val="00245CBD"/>
    <w:rsid w:val="00245F03"/>
    <w:rsid w:val="002467DC"/>
    <w:rsid w:val="002477E3"/>
    <w:rsid w:val="0024790A"/>
    <w:rsid w:val="002504A1"/>
    <w:rsid w:val="00250D97"/>
    <w:rsid w:val="00251475"/>
    <w:rsid w:val="002514F4"/>
    <w:rsid w:val="00251612"/>
    <w:rsid w:val="002518AE"/>
    <w:rsid w:val="00251E93"/>
    <w:rsid w:val="00252C9A"/>
    <w:rsid w:val="0025302D"/>
    <w:rsid w:val="00253D1E"/>
    <w:rsid w:val="00253F22"/>
    <w:rsid w:val="002540D4"/>
    <w:rsid w:val="00254193"/>
    <w:rsid w:val="0025471E"/>
    <w:rsid w:val="00254824"/>
    <w:rsid w:val="00254BAD"/>
    <w:rsid w:val="00255329"/>
    <w:rsid w:val="00255506"/>
    <w:rsid w:val="002560C2"/>
    <w:rsid w:val="002562D2"/>
    <w:rsid w:val="00256617"/>
    <w:rsid w:val="002566A1"/>
    <w:rsid w:val="00256B44"/>
    <w:rsid w:val="00257A2A"/>
    <w:rsid w:val="00257E8C"/>
    <w:rsid w:val="00260217"/>
    <w:rsid w:val="00261ABF"/>
    <w:rsid w:val="00261C78"/>
    <w:rsid w:val="00261EB7"/>
    <w:rsid w:val="002620DF"/>
    <w:rsid w:val="002622EC"/>
    <w:rsid w:val="00262486"/>
    <w:rsid w:val="002624C6"/>
    <w:rsid w:val="002628DA"/>
    <w:rsid w:val="0026290E"/>
    <w:rsid w:val="00262ABB"/>
    <w:rsid w:val="00262BE4"/>
    <w:rsid w:val="00263B82"/>
    <w:rsid w:val="00264A68"/>
    <w:rsid w:val="00264A8A"/>
    <w:rsid w:val="00264B68"/>
    <w:rsid w:val="00264B7E"/>
    <w:rsid w:val="00265069"/>
    <w:rsid w:val="0026575F"/>
    <w:rsid w:val="00266561"/>
    <w:rsid w:val="002670FE"/>
    <w:rsid w:val="002676B8"/>
    <w:rsid w:val="002677D5"/>
    <w:rsid w:val="002701B2"/>
    <w:rsid w:val="0027039A"/>
    <w:rsid w:val="00270497"/>
    <w:rsid w:val="00270B2B"/>
    <w:rsid w:val="0027100F"/>
    <w:rsid w:val="00271CF3"/>
    <w:rsid w:val="00272A4D"/>
    <w:rsid w:val="00273413"/>
    <w:rsid w:val="00273BC4"/>
    <w:rsid w:val="00274CBC"/>
    <w:rsid w:val="002753A0"/>
    <w:rsid w:val="00277638"/>
    <w:rsid w:val="00277B69"/>
    <w:rsid w:val="00277BA4"/>
    <w:rsid w:val="002800EE"/>
    <w:rsid w:val="0028028E"/>
    <w:rsid w:val="002802E0"/>
    <w:rsid w:val="00282016"/>
    <w:rsid w:val="0028217C"/>
    <w:rsid w:val="00282541"/>
    <w:rsid w:val="002827B9"/>
    <w:rsid w:val="0028293D"/>
    <w:rsid w:val="00282C1E"/>
    <w:rsid w:val="00282CA9"/>
    <w:rsid w:val="00282CD0"/>
    <w:rsid w:val="00282E30"/>
    <w:rsid w:val="00283D2A"/>
    <w:rsid w:val="00283E38"/>
    <w:rsid w:val="0028434E"/>
    <w:rsid w:val="002845DF"/>
    <w:rsid w:val="00285D18"/>
    <w:rsid w:val="00285D3C"/>
    <w:rsid w:val="00286B50"/>
    <w:rsid w:val="00286B84"/>
    <w:rsid w:val="002900B3"/>
    <w:rsid w:val="00290429"/>
    <w:rsid w:val="002918C0"/>
    <w:rsid w:val="00292A23"/>
    <w:rsid w:val="00292EB9"/>
    <w:rsid w:val="00293717"/>
    <w:rsid w:val="00293AAE"/>
    <w:rsid w:val="00293C20"/>
    <w:rsid w:val="0029436D"/>
    <w:rsid w:val="0029486D"/>
    <w:rsid w:val="00295DFF"/>
    <w:rsid w:val="00296BC7"/>
    <w:rsid w:val="002A00C3"/>
    <w:rsid w:val="002A0780"/>
    <w:rsid w:val="002A21E4"/>
    <w:rsid w:val="002A2456"/>
    <w:rsid w:val="002A2717"/>
    <w:rsid w:val="002A2A22"/>
    <w:rsid w:val="002A2C0D"/>
    <w:rsid w:val="002A3254"/>
    <w:rsid w:val="002A4442"/>
    <w:rsid w:val="002A4789"/>
    <w:rsid w:val="002A494E"/>
    <w:rsid w:val="002A52ED"/>
    <w:rsid w:val="002A5C40"/>
    <w:rsid w:val="002A61E5"/>
    <w:rsid w:val="002A6F77"/>
    <w:rsid w:val="002B0558"/>
    <w:rsid w:val="002B05C5"/>
    <w:rsid w:val="002B1EFE"/>
    <w:rsid w:val="002B21B4"/>
    <w:rsid w:val="002B306C"/>
    <w:rsid w:val="002B3FD9"/>
    <w:rsid w:val="002B52EB"/>
    <w:rsid w:val="002B5551"/>
    <w:rsid w:val="002B5A7A"/>
    <w:rsid w:val="002B6A95"/>
    <w:rsid w:val="002B74A2"/>
    <w:rsid w:val="002B7D0E"/>
    <w:rsid w:val="002C0589"/>
    <w:rsid w:val="002C0839"/>
    <w:rsid w:val="002C113B"/>
    <w:rsid w:val="002C1231"/>
    <w:rsid w:val="002C18A1"/>
    <w:rsid w:val="002C1AB1"/>
    <w:rsid w:val="002C23D2"/>
    <w:rsid w:val="002C2723"/>
    <w:rsid w:val="002C2868"/>
    <w:rsid w:val="002C2FCE"/>
    <w:rsid w:val="002C31D5"/>
    <w:rsid w:val="002C3722"/>
    <w:rsid w:val="002C5001"/>
    <w:rsid w:val="002C5157"/>
    <w:rsid w:val="002C5B7D"/>
    <w:rsid w:val="002C6D98"/>
    <w:rsid w:val="002C707A"/>
    <w:rsid w:val="002C7228"/>
    <w:rsid w:val="002D15D7"/>
    <w:rsid w:val="002D34DF"/>
    <w:rsid w:val="002D36D2"/>
    <w:rsid w:val="002D4080"/>
    <w:rsid w:val="002D4A16"/>
    <w:rsid w:val="002D5083"/>
    <w:rsid w:val="002D50F5"/>
    <w:rsid w:val="002D533A"/>
    <w:rsid w:val="002D599A"/>
    <w:rsid w:val="002D5B58"/>
    <w:rsid w:val="002D5B94"/>
    <w:rsid w:val="002D6494"/>
    <w:rsid w:val="002D706A"/>
    <w:rsid w:val="002D77E0"/>
    <w:rsid w:val="002D78C9"/>
    <w:rsid w:val="002D79D4"/>
    <w:rsid w:val="002D7F61"/>
    <w:rsid w:val="002E10CE"/>
    <w:rsid w:val="002E1272"/>
    <w:rsid w:val="002E1562"/>
    <w:rsid w:val="002E175E"/>
    <w:rsid w:val="002E184E"/>
    <w:rsid w:val="002E1B03"/>
    <w:rsid w:val="002E23CF"/>
    <w:rsid w:val="002E3686"/>
    <w:rsid w:val="002E4EA9"/>
    <w:rsid w:val="002E58C9"/>
    <w:rsid w:val="002E5B75"/>
    <w:rsid w:val="002E6BB0"/>
    <w:rsid w:val="002E6C58"/>
    <w:rsid w:val="002E7571"/>
    <w:rsid w:val="002E7AE9"/>
    <w:rsid w:val="002E7E07"/>
    <w:rsid w:val="002F0D41"/>
    <w:rsid w:val="002F0F03"/>
    <w:rsid w:val="002F0F86"/>
    <w:rsid w:val="002F10BA"/>
    <w:rsid w:val="002F1C17"/>
    <w:rsid w:val="002F1D71"/>
    <w:rsid w:val="002F20FC"/>
    <w:rsid w:val="002F22C1"/>
    <w:rsid w:val="002F2936"/>
    <w:rsid w:val="002F2A4E"/>
    <w:rsid w:val="002F3EB3"/>
    <w:rsid w:val="002F4254"/>
    <w:rsid w:val="002F43A8"/>
    <w:rsid w:val="002F474D"/>
    <w:rsid w:val="002F4CBA"/>
    <w:rsid w:val="002F51AD"/>
    <w:rsid w:val="002F52B4"/>
    <w:rsid w:val="002F5F8C"/>
    <w:rsid w:val="002F647A"/>
    <w:rsid w:val="002F771F"/>
    <w:rsid w:val="002F7C72"/>
    <w:rsid w:val="002F7E33"/>
    <w:rsid w:val="00300348"/>
    <w:rsid w:val="0030040D"/>
    <w:rsid w:val="00300E4D"/>
    <w:rsid w:val="00301F10"/>
    <w:rsid w:val="00301F96"/>
    <w:rsid w:val="00302EA0"/>
    <w:rsid w:val="003032D5"/>
    <w:rsid w:val="00303458"/>
    <w:rsid w:val="003055E4"/>
    <w:rsid w:val="003066C2"/>
    <w:rsid w:val="00306A76"/>
    <w:rsid w:val="003070EA"/>
    <w:rsid w:val="00307178"/>
    <w:rsid w:val="003077A5"/>
    <w:rsid w:val="0031037D"/>
    <w:rsid w:val="003104ED"/>
    <w:rsid w:val="00310B54"/>
    <w:rsid w:val="00310C5F"/>
    <w:rsid w:val="00310D2D"/>
    <w:rsid w:val="00310E9D"/>
    <w:rsid w:val="00310F2D"/>
    <w:rsid w:val="00311191"/>
    <w:rsid w:val="0031166B"/>
    <w:rsid w:val="00311F10"/>
    <w:rsid w:val="0031476D"/>
    <w:rsid w:val="00314B9F"/>
    <w:rsid w:val="00314D3F"/>
    <w:rsid w:val="00314E1E"/>
    <w:rsid w:val="00315605"/>
    <w:rsid w:val="00315DFC"/>
    <w:rsid w:val="00317784"/>
    <w:rsid w:val="0032087D"/>
    <w:rsid w:val="003212F0"/>
    <w:rsid w:val="00321537"/>
    <w:rsid w:val="00321689"/>
    <w:rsid w:val="00321ACB"/>
    <w:rsid w:val="00321D8A"/>
    <w:rsid w:val="00322619"/>
    <w:rsid w:val="00322989"/>
    <w:rsid w:val="00322AA6"/>
    <w:rsid w:val="00322BCB"/>
    <w:rsid w:val="00322ECB"/>
    <w:rsid w:val="0032342D"/>
    <w:rsid w:val="00323619"/>
    <w:rsid w:val="0032393E"/>
    <w:rsid w:val="00323D0C"/>
    <w:rsid w:val="00323E9C"/>
    <w:rsid w:val="003245A3"/>
    <w:rsid w:val="003246CC"/>
    <w:rsid w:val="003246FB"/>
    <w:rsid w:val="00324DB9"/>
    <w:rsid w:val="00324E42"/>
    <w:rsid w:val="00325611"/>
    <w:rsid w:val="00325915"/>
    <w:rsid w:val="00325EC0"/>
    <w:rsid w:val="003260B7"/>
    <w:rsid w:val="00326556"/>
    <w:rsid w:val="003272BE"/>
    <w:rsid w:val="00327998"/>
    <w:rsid w:val="0033016E"/>
    <w:rsid w:val="00330F6F"/>
    <w:rsid w:val="00331183"/>
    <w:rsid w:val="00331372"/>
    <w:rsid w:val="003328FC"/>
    <w:rsid w:val="00333063"/>
    <w:rsid w:val="003340E6"/>
    <w:rsid w:val="003343B9"/>
    <w:rsid w:val="0033442E"/>
    <w:rsid w:val="003347AA"/>
    <w:rsid w:val="003349B9"/>
    <w:rsid w:val="0033546A"/>
    <w:rsid w:val="00335E8D"/>
    <w:rsid w:val="00336451"/>
    <w:rsid w:val="00336533"/>
    <w:rsid w:val="00336CDD"/>
    <w:rsid w:val="00336F02"/>
    <w:rsid w:val="00336F5D"/>
    <w:rsid w:val="00337DAD"/>
    <w:rsid w:val="003409ED"/>
    <w:rsid w:val="003415CD"/>
    <w:rsid w:val="003416C8"/>
    <w:rsid w:val="003417E1"/>
    <w:rsid w:val="003418FA"/>
    <w:rsid w:val="00341BE7"/>
    <w:rsid w:val="003420DC"/>
    <w:rsid w:val="00342AA2"/>
    <w:rsid w:val="00342D1C"/>
    <w:rsid w:val="00342F36"/>
    <w:rsid w:val="0034353E"/>
    <w:rsid w:val="00344A05"/>
    <w:rsid w:val="00344D86"/>
    <w:rsid w:val="003459C5"/>
    <w:rsid w:val="00346571"/>
    <w:rsid w:val="00346B75"/>
    <w:rsid w:val="00346FE3"/>
    <w:rsid w:val="00347169"/>
    <w:rsid w:val="0034798E"/>
    <w:rsid w:val="003500C2"/>
    <w:rsid w:val="00350608"/>
    <w:rsid w:val="00350716"/>
    <w:rsid w:val="003508E1"/>
    <w:rsid w:val="00350BFA"/>
    <w:rsid w:val="00350FBC"/>
    <w:rsid w:val="003522FC"/>
    <w:rsid w:val="00353813"/>
    <w:rsid w:val="00354EDD"/>
    <w:rsid w:val="00355D9A"/>
    <w:rsid w:val="0035608A"/>
    <w:rsid w:val="0035624D"/>
    <w:rsid w:val="003566FA"/>
    <w:rsid w:val="00357811"/>
    <w:rsid w:val="00357A81"/>
    <w:rsid w:val="00357C3C"/>
    <w:rsid w:val="00357D2E"/>
    <w:rsid w:val="00360396"/>
    <w:rsid w:val="00361431"/>
    <w:rsid w:val="00361E79"/>
    <w:rsid w:val="0036213A"/>
    <w:rsid w:val="00362210"/>
    <w:rsid w:val="00362614"/>
    <w:rsid w:val="00362A08"/>
    <w:rsid w:val="00362D78"/>
    <w:rsid w:val="0036327C"/>
    <w:rsid w:val="00363E7C"/>
    <w:rsid w:val="0036571C"/>
    <w:rsid w:val="003657B1"/>
    <w:rsid w:val="00366C04"/>
    <w:rsid w:val="00367933"/>
    <w:rsid w:val="00367FEB"/>
    <w:rsid w:val="003708D0"/>
    <w:rsid w:val="0037130B"/>
    <w:rsid w:val="003715EB"/>
    <w:rsid w:val="003723D2"/>
    <w:rsid w:val="0037280C"/>
    <w:rsid w:val="00373697"/>
    <w:rsid w:val="0037424D"/>
    <w:rsid w:val="0037424F"/>
    <w:rsid w:val="00374708"/>
    <w:rsid w:val="00374FD7"/>
    <w:rsid w:val="003755BC"/>
    <w:rsid w:val="0037597C"/>
    <w:rsid w:val="00375A87"/>
    <w:rsid w:val="00376404"/>
    <w:rsid w:val="003764E6"/>
    <w:rsid w:val="00376960"/>
    <w:rsid w:val="00376F46"/>
    <w:rsid w:val="00376FAA"/>
    <w:rsid w:val="003773CB"/>
    <w:rsid w:val="00377588"/>
    <w:rsid w:val="003777C7"/>
    <w:rsid w:val="00377BE4"/>
    <w:rsid w:val="003800F5"/>
    <w:rsid w:val="003806B3"/>
    <w:rsid w:val="0038080F"/>
    <w:rsid w:val="00380B77"/>
    <w:rsid w:val="003814B5"/>
    <w:rsid w:val="003815D4"/>
    <w:rsid w:val="00381D67"/>
    <w:rsid w:val="00382433"/>
    <w:rsid w:val="00382CCB"/>
    <w:rsid w:val="003837B4"/>
    <w:rsid w:val="0038445D"/>
    <w:rsid w:val="0038513F"/>
    <w:rsid w:val="0038531E"/>
    <w:rsid w:val="00385658"/>
    <w:rsid w:val="003856F0"/>
    <w:rsid w:val="00385A5F"/>
    <w:rsid w:val="00385D8F"/>
    <w:rsid w:val="003867B8"/>
    <w:rsid w:val="00386818"/>
    <w:rsid w:val="00387037"/>
    <w:rsid w:val="003871D5"/>
    <w:rsid w:val="00387715"/>
    <w:rsid w:val="00390366"/>
    <w:rsid w:val="00390AAD"/>
    <w:rsid w:val="003910F3"/>
    <w:rsid w:val="003914AC"/>
    <w:rsid w:val="00391974"/>
    <w:rsid w:val="00391AFC"/>
    <w:rsid w:val="00392C09"/>
    <w:rsid w:val="00393557"/>
    <w:rsid w:val="00394D95"/>
    <w:rsid w:val="00395E63"/>
    <w:rsid w:val="00396617"/>
    <w:rsid w:val="0039734D"/>
    <w:rsid w:val="00397921"/>
    <w:rsid w:val="00397AB6"/>
    <w:rsid w:val="003A0D45"/>
    <w:rsid w:val="003A10F3"/>
    <w:rsid w:val="003A17A0"/>
    <w:rsid w:val="003A1A51"/>
    <w:rsid w:val="003A2110"/>
    <w:rsid w:val="003A2D80"/>
    <w:rsid w:val="003A33B9"/>
    <w:rsid w:val="003A4012"/>
    <w:rsid w:val="003A45B5"/>
    <w:rsid w:val="003A4663"/>
    <w:rsid w:val="003A4BB6"/>
    <w:rsid w:val="003A5315"/>
    <w:rsid w:val="003A5FDA"/>
    <w:rsid w:val="003A6835"/>
    <w:rsid w:val="003A6E24"/>
    <w:rsid w:val="003A7899"/>
    <w:rsid w:val="003A7EB2"/>
    <w:rsid w:val="003A7EF7"/>
    <w:rsid w:val="003B168F"/>
    <w:rsid w:val="003B18BC"/>
    <w:rsid w:val="003B1AEB"/>
    <w:rsid w:val="003B1B5B"/>
    <w:rsid w:val="003B242A"/>
    <w:rsid w:val="003B31EC"/>
    <w:rsid w:val="003B42B5"/>
    <w:rsid w:val="003B469E"/>
    <w:rsid w:val="003B46FA"/>
    <w:rsid w:val="003B4C72"/>
    <w:rsid w:val="003B50D3"/>
    <w:rsid w:val="003B529B"/>
    <w:rsid w:val="003B5907"/>
    <w:rsid w:val="003B5A03"/>
    <w:rsid w:val="003B5D45"/>
    <w:rsid w:val="003B663E"/>
    <w:rsid w:val="003B6DE1"/>
    <w:rsid w:val="003B78E2"/>
    <w:rsid w:val="003B7936"/>
    <w:rsid w:val="003B7F46"/>
    <w:rsid w:val="003C07C7"/>
    <w:rsid w:val="003C134B"/>
    <w:rsid w:val="003C1C3D"/>
    <w:rsid w:val="003C1F49"/>
    <w:rsid w:val="003C2146"/>
    <w:rsid w:val="003C2294"/>
    <w:rsid w:val="003C25DB"/>
    <w:rsid w:val="003C2DBD"/>
    <w:rsid w:val="003C2E61"/>
    <w:rsid w:val="003C3677"/>
    <w:rsid w:val="003C38DD"/>
    <w:rsid w:val="003C3951"/>
    <w:rsid w:val="003C43C2"/>
    <w:rsid w:val="003C4772"/>
    <w:rsid w:val="003C5B1E"/>
    <w:rsid w:val="003C63A6"/>
    <w:rsid w:val="003C6C7C"/>
    <w:rsid w:val="003C6CD3"/>
    <w:rsid w:val="003C6E91"/>
    <w:rsid w:val="003C772B"/>
    <w:rsid w:val="003C7750"/>
    <w:rsid w:val="003C7DEC"/>
    <w:rsid w:val="003C7F2A"/>
    <w:rsid w:val="003D098D"/>
    <w:rsid w:val="003D0CC2"/>
    <w:rsid w:val="003D0D1B"/>
    <w:rsid w:val="003D22C3"/>
    <w:rsid w:val="003D2E67"/>
    <w:rsid w:val="003D4812"/>
    <w:rsid w:val="003D4D5F"/>
    <w:rsid w:val="003D5532"/>
    <w:rsid w:val="003D5ED1"/>
    <w:rsid w:val="003D6386"/>
    <w:rsid w:val="003D6A29"/>
    <w:rsid w:val="003D755F"/>
    <w:rsid w:val="003D7712"/>
    <w:rsid w:val="003D772E"/>
    <w:rsid w:val="003E119E"/>
    <w:rsid w:val="003E1C53"/>
    <w:rsid w:val="003E1C99"/>
    <w:rsid w:val="003E1CC9"/>
    <w:rsid w:val="003E2988"/>
    <w:rsid w:val="003E2B41"/>
    <w:rsid w:val="003E2DE5"/>
    <w:rsid w:val="003E3D13"/>
    <w:rsid w:val="003E5CAD"/>
    <w:rsid w:val="003E60DC"/>
    <w:rsid w:val="003E6F37"/>
    <w:rsid w:val="003E7F8A"/>
    <w:rsid w:val="003F0B8F"/>
    <w:rsid w:val="003F0EE3"/>
    <w:rsid w:val="003F15F9"/>
    <w:rsid w:val="003F1EC0"/>
    <w:rsid w:val="003F25E4"/>
    <w:rsid w:val="003F26A5"/>
    <w:rsid w:val="003F2F8C"/>
    <w:rsid w:val="003F2F92"/>
    <w:rsid w:val="003F4C46"/>
    <w:rsid w:val="003F5673"/>
    <w:rsid w:val="003F57F4"/>
    <w:rsid w:val="003F60E7"/>
    <w:rsid w:val="003F64F9"/>
    <w:rsid w:val="003F7A65"/>
    <w:rsid w:val="00401019"/>
    <w:rsid w:val="004017B4"/>
    <w:rsid w:val="004017BF"/>
    <w:rsid w:val="00401A54"/>
    <w:rsid w:val="00401B26"/>
    <w:rsid w:val="00401E9E"/>
    <w:rsid w:val="0040248C"/>
    <w:rsid w:val="00402E46"/>
    <w:rsid w:val="004032CC"/>
    <w:rsid w:val="0040343A"/>
    <w:rsid w:val="0040374F"/>
    <w:rsid w:val="004039EA"/>
    <w:rsid w:val="00403AA9"/>
    <w:rsid w:val="0040416A"/>
    <w:rsid w:val="004057AD"/>
    <w:rsid w:val="00406428"/>
    <w:rsid w:val="004068AC"/>
    <w:rsid w:val="004068FE"/>
    <w:rsid w:val="00407C44"/>
    <w:rsid w:val="0041048F"/>
    <w:rsid w:val="0041099C"/>
    <w:rsid w:val="00410E69"/>
    <w:rsid w:val="00410EA0"/>
    <w:rsid w:val="00410EA5"/>
    <w:rsid w:val="004123D1"/>
    <w:rsid w:val="00412450"/>
    <w:rsid w:val="004125E4"/>
    <w:rsid w:val="00412DF4"/>
    <w:rsid w:val="00413642"/>
    <w:rsid w:val="00413E28"/>
    <w:rsid w:val="004143D7"/>
    <w:rsid w:val="004149F9"/>
    <w:rsid w:val="00414FB7"/>
    <w:rsid w:val="00415752"/>
    <w:rsid w:val="0041585C"/>
    <w:rsid w:val="0041607B"/>
    <w:rsid w:val="00416736"/>
    <w:rsid w:val="0041707E"/>
    <w:rsid w:val="00417C73"/>
    <w:rsid w:val="00417D7D"/>
    <w:rsid w:val="004202FA"/>
    <w:rsid w:val="00420A5A"/>
    <w:rsid w:val="00420C6C"/>
    <w:rsid w:val="0042108F"/>
    <w:rsid w:val="00421220"/>
    <w:rsid w:val="004216AB"/>
    <w:rsid w:val="004217EA"/>
    <w:rsid w:val="00421961"/>
    <w:rsid w:val="004219E8"/>
    <w:rsid w:val="00421C8B"/>
    <w:rsid w:val="00421CE0"/>
    <w:rsid w:val="00421D8E"/>
    <w:rsid w:val="004229AB"/>
    <w:rsid w:val="00422E2A"/>
    <w:rsid w:val="004233A6"/>
    <w:rsid w:val="004237B4"/>
    <w:rsid w:val="004242A5"/>
    <w:rsid w:val="00424627"/>
    <w:rsid w:val="004247DA"/>
    <w:rsid w:val="00425244"/>
    <w:rsid w:val="00425579"/>
    <w:rsid w:val="004264DE"/>
    <w:rsid w:val="004269A8"/>
    <w:rsid w:val="00426F28"/>
    <w:rsid w:val="004278A2"/>
    <w:rsid w:val="00427C1F"/>
    <w:rsid w:val="00427E0C"/>
    <w:rsid w:val="00427ED1"/>
    <w:rsid w:val="0043076B"/>
    <w:rsid w:val="00431071"/>
    <w:rsid w:val="00432DC4"/>
    <w:rsid w:val="004342D9"/>
    <w:rsid w:val="0043509C"/>
    <w:rsid w:val="00435171"/>
    <w:rsid w:val="004355A8"/>
    <w:rsid w:val="0043615E"/>
    <w:rsid w:val="004369D0"/>
    <w:rsid w:val="0043722A"/>
    <w:rsid w:val="00437877"/>
    <w:rsid w:val="00437954"/>
    <w:rsid w:val="00437ABC"/>
    <w:rsid w:val="00437FCD"/>
    <w:rsid w:val="00440038"/>
    <w:rsid w:val="0044235D"/>
    <w:rsid w:val="00442A99"/>
    <w:rsid w:val="00442AED"/>
    <w:rsid w:val="00442B38"/>
    <w:rsid w:val="004437FD"/>
    <w:rsid w:val="00443C68"/>
    <w:rsid w:val="00444F30"/>
    <w:rsid w:val="00446421"/>
    <w:rsid w:val="004476DC"/>
    <w:rsid w:val="00447C3B"/>
    <w:rsid w:val="00451006"/>
    <w:rsid w:val="00451189"/>
    <w:rsid w:val="00451D72"/>
    <w:rsid w:val="00452B64"/>
    <w:rsid w:val="00452BCA"/>
    <w:rsid w:val="00452C5E"/>
    <w:rsid w:val="00452F84"/>
    <w:rsid w:val="0045301C"/>
    <w:rsid w:val="004530B9"/>
    <w:rsid w:val="00453780"/>
    <w:rsid w:val="0045474D"/>
    <w:rsid w:val="004549D6"/>
    <w:rsid w:val="004552B0"/>
    <w:rsid w:val="00455EDB"/>
    <w:rsid w:val="00456981"/>
    <w:rsid w:val="00456AD4"/>
    <w:rsid w:val="0045760F"/>
    <w:rsid w:val="004578E4"/>
    <w:rsid w:val="004603AC"/>
    <w:rsid w:val="00460C16"/>
    <w:rsid w:val="00461D75"/>
    <w:rsid w:val="00461F13"/>
    <w:rsid w:val="00462B13"/>
    <w:rsid w:val="00462C9F"/>
    <w:rsid w:val="00463EC2"/>
    <w:rsid w:val="004640DA"/>
    <w:rsid w:val="004641B9"/>
    <w:rsid w:val="00464418"/>
    <w:rsid w:val="004653DB"/>
    <w:rsid w:val="004657AC"/>
    <w:rsid w:val="00466F4A"/>
    <w:rsid w:val="0046707E"/>
    <w:rsid w:val="0046742D"/>
    <w:rsid w:val="004674AB"/>
    <w:rsid w:val="00467B29"/>
    <w:rsid w:val="004702D7"/>
    <w:rsid w:val="00470811"/>
    <w:rsid w:val="0047141C"/>
    <w:rsid w:val="00471EBA"/>
    <w:rsid w:val="004720D0"/>
    <w:rsid w:val="004734BD"/>
    <w:rsid w:val="0047375B"/>
    <w:rsid w:val="00473C05"/>
    <w:rsid w:val="0047420F"/>
    <w:rsid w:val="0047431A"/>
    <w:rsid w:val="00475102"/>
    <w:rsid w:val="004752B3"/>
    <w:rsid w:val="0047551D"/>
    <w:rsid w:val="0047591C"/>
    <w:rsid w:val="0047647A"/>
    <w:rsid w:val="00476660"/>
    <w:rsid w:val="004766BC"/>
    <w:rsid w:val="0047685A"/>
    <w:rsid w:val="00476B15"/>
    <w:rsid w:val="004775CA"/>
    <w:rsid w:val="00477F8F"/>
    <w:rsid w:val="0048037B"/>
    <w:rsid w:val="00480758"/>
    <w:rsid w:val="00480ABC"/>
    <w:rsid w:val="00480C2E"/>
    <w:rsid w:val="00481E9C"/>
    <w:rsid w:val="00481F04"/>
    <w:rsid w:val="0048224C"/>
    <w:rsid w:val="00482322"/>
    <w:rsid w:val="0048255B"/>
    <w:rsid w:val="004827EF"/>
    <w:rsid w:val="004828DA"/>
    <w:rsid w:val="004829E2"/>
    <w:rsid w:val="00482B96"/>
    <w:rsid w:val="00482CE1"/>
    <w:rsid w:val="004839D3"/>
    <w:rsid w:val="00483E21"/>
    <w:rsid w:val="00483EE6"/>
    <w:rsid w:val="00483EED"/>
    <w:rsid w:val="00484830"/>
    <w:rsid w:val="00484944"/>
    <w:rsid w:val="00484CEB"/>
    <w:rsid w:val="00485566"/>
    <w:rsid w:val="00485C84"/>
    <w:rsid w:val="004864F5"/>
    <w:rsid w:val="00486AC2"/>
    <w:rsid w:val="004875E4"/>
    <w:rsid w:val="004879F8"/>
    <w:rsid w:val="0049079E"/>
    <w:rsid w:val="00491A4C"/>
    <w:rsid w:val="00492419"/>
    <w:rsid w:val="0049284A"/>
    <w:rsid w:val="00492F8A"/>
    <w:rsid w:val="00493158"/>
    <w:rsid w:val="004931A1"/>
    <w:rsid w:val="00493E3A"/>
    <w:rsid w:val="0049404A"/>
    <w:rsid w:val="004946AB"/>
    <w:rsid w:val="00494887"/>
    <w:rsid w:val="00494C01"/>
    <w:rsid w:val="00494E8A"/>
    <w:rsid w:val="00495F99"/>
    <w:rsid w:val="00496403"/>
    <w:rsid w:val="00496545"/>
    <w:rsid w:val="00496643"/>
    <w:rsid w:val="00497228"/>
    <w:rsid w:val="004973BC"/>
    <w:rsid w:val="004A05AB"/>
    <w:rsid w:val="004A0658"/>
    <w:rsid w:val="004A0F6F"/>
    <w:rsid w:val="004A109F"/>
    <w:rsid w:val="004A1C77"/>
    <w:rsid w:val="004A32B4"/>
    <w:rsid w:val="004A458D"/>
    <w:rsid w:val="004A48DE"/>
    <w:rsid w:val="004A50F4"/>
    <w:rsid w:val="004A5643"/>
    <w:rsid w:val="004A57DA"/>
    <w:rsid w:val="004A6B21"/>
    <w:rsid w:val="004A6CF0"/>
    <w:rsid w:val="004A6DD2"/>
    <w:rsid w:val="004A79D8"/>
    <w:rsid w:val="004A7CF1"/>
    <w:rsid w:val="004B083B"/>
    <w:rsid w:val="004B23B9"/>
    <w:rsid w:val="004B2E65"/>
    <w:rsid w:val="004B322F"/>
    <w:rsid w:val="004B334F"/>
    <w:rsid w:val="004B3C04"/>
    <w:rsid w:val="004B5099"/>
    <w:rsid w:val="004B552C"/>
    <w:rsid w:val="004B5780"/>
    <w:rsid w:val="004B665A"/>
    <w:rsid w:val="004B6F73"/>
    <w:rsid w:val="004B7338"/>
    <w:rsid w:val="004B7414"/>
    <w:rsid w:val="004B7A3E"/>
    <w:rsid w:val="004B7D2B"/>
    <w:rsid w:val="004C0185"/>
    <w:rsid w:val="004C05EF"/>
    <w:rsid w:val="004C10FD"/>
    <w:rsid w:val="004C12D0"/>
    <w:rsid w:val="004C1CA7"/>
    <w:rsid w:val="004C1D59"/>
    <w:rsid w:val="004C2049"/>
    <w:rsid w:val="004C3386"/>
    <w:rsid w:val="004C56F3"/>
    <w:rsid w:val="004C57BE"/>
    <w:rsid w:val="004C60B2"/>
    <w:rsid w:val="004C6137"/>
    <w:rsid w:val="004C6223"/>
    <w:rsid w:val="004C69C4"/>
    <w:rsid w:val="004C6D32"/>
    <w:rsid w:val="004C7DD9"/>
    <w:rsid w:val="004C7ED9"/>
    <w:rsid w:val="004D0023"/>
    <w:rsid w:val="004D03CE"/>
    <w:rsid w:val="004D05F8"/>
    <w:rsid w:val="004D077F"/>
    <w:rsid w:val="004D1047"/>
    <w:rsid w:val="004D1377"/>
    <w:rsid w:val="004D1840"/>
    <w:rsid w:val="004D1906"/>
    <w:rsid w:val="004D1E90"/>
    <w:rsid w:val="004D1EC3"/>
    <w:rsid w:val="004D282A"/>
    <w:rsid w:val="004D292D"/>
    <w:rsid w:val="004D2ABE"/>
    <w:rsid w:val="004D3034"/>
    <w:rsid w:val="004D4A66"/>
    <w:rsid w:val="004D4F45"/>
    <w:rsid w:val="004D628B"/>
    <w:rsid w:val="004D63BE"/>
    <w:rsid w:val="004D6714"/>
    <w:rsid w:val="004D6C7F"/>
    <w:rsid w:val="004D706E"/>
    <w:rsid w:val="004D73B9"/>
    <w:rsid w:val="004D7D25"/>
    <w:rsid w:val="004E074B"/>
    <w:rsid w:val="004E08F8"/>
    <w:rsid w:val="004E0DF0"/>
    <w:rsid w:val="004E173C"/>
    <w:rsid w:val="004E17CA"/>
    <w:rsid w:val="004E2081"/>
    <w:rsid w:val="004E27D5"/>
    <w:rsid w:val="004E2815"/>
    <w:rsid w:val="004E2941"/>
    <w:rsid w:val="004E2CA0"/>
    <w:rsid w:val="004E2F57"/>
    <w:rsid w:val="004E347F"/>
    <w:rsid w:val="004E428A"/>
    <w:rsid w:val="004E4550"/>
    <w:rsid w:val="004E4858"/>
    <w:rsid w:val="004E5264"/>
    <w:rsid w:val="004E571D"/>
    <w:rsid w:val="004E5F6F"/>
    <w:rsid w:val="004E6BA7"/>
    <w:rsid w:val="004E7BDC"/>
    <w:rsid w:val="004F09A4"/>
    <w:rsid w:val="004F0A04"/>
    <w:rsid w:val="004F1C76"/>
    <w:rsid w:val="004F1F5B"/>
    <w:rsid w:val="004F4B7F"/>
    <w:rsid w:val="004F4ED4"/>
    <w:rsid w:val="004F4F54"/>
    <w:rsid w:val="004F51D4"/>
    <w:rsid w:val="004F5A4A"/>
    <w:rsid w:val="004F6281"/>
    <w:rsid w:val="004F67A6"/>
    <w:rsid w:val="004F7559"/>
    <w:rsid w:val="004F7DDB"/>
    <w:rsid w:val="005000E6"/>
    <w:rsid w:val="005003FE"/>
    <w:rsid w:val="0050114D"/>
    <w:rsid w:val="005032EA"/>
    <w:rsid w:val="005036D8"/>
    <w:rsid w:val="00503981"/>
    <w:rsid w:val="00504503"/>
    <w:rsid w:val="00504948"/>
    <w:rsid w:val="00505361"/>
    <w:rsid w:val="005054D1"/>
    <w:rsid w:val="00506028"/>
    <w:rsid w:val="00506AF9"/>
    <w:rsid w:val="005072A1"/>
    <w:rsid w:val="00507DC8"/>
    <w:rsid w:val="00507EDE"/>
    <w:rsid w:val="00507F36"/>
    <w:rsid w:val="005103B3"/>
    <w:rsid w:val="005104D5"/>
    <w:rsid w:val="00510590"/>
    <w:rsid w:val="005108FA"/>
    <w:rsid w:val="00510A16"/>
    <w:rsid w:val="00510A86"/>
    <w:rsid w:val="00510AA2"/>
    <w:rsid w:val="00510AF4"/>
    <w:rsid w:val="00510B4D"/>
    <w:rsid w:val="005111A3"/>
    <w:rsid w:val="00511526"/>
    <w:rsid w:val="00511C9E"/>
    <w:rsid w:val="00511FB7"/>
    <w:rsid w:val="00512341"/>
    <w:rsid w:val="00513087"/>
    <w:rsid w:val="005133B7"/>
    <w:rsid w:val="005142AD"/>
    <w:rsid w:val="00514871"/>
    <w:rsid w:val="00514E61"/>
    <w:rsid w:val="005157B7"/>
    <w:rsid w:val="00516CAC"/>
    <w:rsid w:val="005174C8"/>
    <w:rsid w:val="005178D1"/>
    <w:rsid w:val="00517E47"/>
    <w:rsid w:val="005200B8"/>
    <w:rsid w:val="00520157"/>
    <w:rsid w:val="005206F2"/>
    <w:rsid w:val="00520B46"/>
    <w:rsid w:val="005225CC"/>
    <w:rsid w:val="00522C27"/>
    <w:rsid w:val="00522CEA"/>
    <w:rsid w:val="00522E85"/>
    <w:rsid w:val="005235DD"/>
    <w:rsid w:val="005236AC"/>
    <w:rsid w:val="00523BBA"/>
    <w:rsid w:val="00523C7E"/>
    <w:rsid w:val="00523CAC"/>
    <w:rsid w:val="0052430A"/>
    <w:rsid w:val="00524317"/>
    <w:rsid w:val="005248A2"/>
    <w:rsid w:val="00524EBE"/>
    <w:rsid w:val="0052568D"/>
    <w:rsid w:val="005256F8"/>
    <w:rsid w:val="00525C71"/>
    <w:rsid w:val="00525F84"/>
    <w:rsid w:val="00526823"/>
    <w:rsid w:val="00526A57"/>
    <w:rsid w:val="0052731D"/>
    <w:rsid w:val="005275F0"/>
    <w:rsid w:val="00527BEF"/>
    <w:rsid w:val="00527C18"/>
    <w:rsid w:val="00527F1F"/>
    <w:rsid w:val="00530E3D"/>
    <w:rsid w:val="00531D6C"/>
    <w:rsid w:val="00531F04"/>
    <w:rsid w:val="00533918"/>
    <w:rsid w:val="00534C31"/>
    <w:rsid w:val="00536242"/>
    <w:rsid w:val="00536263"/>
    <w:rsid w:val="005365DD"/>
    <w:rsid w:val="00537613"/>
    <w:rsid w:val="00537B99"/>
    <w:rsid w:val="00541722"/>
    <w:rsid w:val="00541A8F"/>
    <w:rsid w:val="00542861"/>
    <w:rsid w:val="00542D76"/>
    <w:rsid w:val="00543040"/>
    <w:rsid w:val="005434FF"/>
    <w:rsid w:val="005439BB"/>
    <w:rsid w:val="00543B73"/>
    <w:rsid w:val="005440BB"/>
    <w:rsid w:val="005442A6"/>
    <w:rsid w:val="0054445C"/>
    <w:rsid w:val="005447FD"/>
    <w:rsid w:val="00544C64"/>
    <w:rsid w:val="00545001"/>
    <w:rsid w:val="005451C5"/>
    <w:rsid w:val="00545331"/>
    <w:rsid w:val="00545701"/>
    <w:rsid w:val="00545A53"/>
    <w:rsid w:val="0054616E"/>
    <w:rsid w:val="00546319"/>
    <w:rsid w:val="00546BED"/>
    <w:rsid w:val="00547732"/>
    <w:rsid w:val="00547DBD"/>
    <w:rsid w:val="005505EF"/>
    <w:rsid w:val="00550F53"/>
    <w:rsid w:val="0055217A"/>
    <w:rsid w:val="0055250D"/>
    <w:rsid w:val="0055287E"/>
    <w:rsid w:val="005530F1"/>
    <w:rsid w:val="00553747"/>
    <w:rsid w:val="005539CD"/>
    <w:rsid w:val="00554074"/>
    <w:rsid w:val="005543BA"/>
    <w:rsid w:val="005545E7"/>
    <w:rsid w:val="005547A4"/>
    <w:rsid w:val="005553AE"/>
    <w:rsid w:val="005557DF"/>
    <w:rsid w:val="00555972"/>
    <w:rsid w:val="00555A74"/>
    <w:rsid w:val="00555F46"/>
    <w:rsid w:val="00556188"/>
    <w:rsid w:val="00560005"/>
    <w:rsid w:val="0056079E"/>
    <w:rsid w:val="005608AE"/>
    <w:rsid w:val="00560AEB"/>
    <w:rsid w:val="00560C9F"/>
    <w:rsid w:val="00560D10"/>
    <w:rsid w:val="00561414"/>
    <w:rsid w:val="0056193B"/>
    <w:rsid w:val="005619A9"/>
    <w:rsid w:val="00561B35"/>
    <w:rsid w:val="00562083"/>
    <w:rsid w:val="00562B5A"/>
    <w:rsid w:val="005644E1"/>
    <w:rsid w:val="00564F6B"/>
    <w:rsid w:val="00565250"/>
    <w:rsid w:val="00565D19"/>
    <w:rsid w:val="0056604E"/>
    <w:rsid w:val="00566746"/>
    <w:rsid w:val="0056710D"/>
    <w:rsid w:val="00567500"/>
    <w:rsid w:val="00567568"/>
    <w:rsid w:val="00567B6A"/>
    <w:rsid w:val="00567E26"/>
    <w:rsid w:val="005704D2"/>
    <w:rsid w:val="00570542"/>
    <w:rsid w:val="00570942"/>
    <w:rsid w:val="00570B3F"/>
    <w:rsid w:val="00570C1B"/>
    <w:rsid w:val="00570D72"/>
    <w:rsid w:val="0057149A"/>
    <w:rsid w:val="0057193A"/>
    <w:rsid w:val="00571AB3"/>
    <w:rsid w:val="00571C4D"/>
    <w:rsid w:val="00571CE5"/>
    <w:rsid w:val="00571DA7"/>
    <w:rsid w:val="00572B50"/>
    <w:rsid w:val="00572C48"/>
    <w:rsid w:val="00572D31"/>
    <w:rsid w:val="00572D4D"/>
    <w:rsid w:val="00572E5D"/>
    <w:rsid w:val="0057356E"/>
    <w:rsid w:val="005737F3"/>
    <w:rsid w:val="00573A17"/>
    <w:rsid w:val="00574833"/>
    <w:rsid w:val="00574A02"/>
    <w:rsid w:val="00574BCA"/>
    <w:rsid w:val="00575672"/>
    <w:rsid w:val="00575F8B"/>
    <w:rsid w:val="00576F75"/>
    <w:rsid w:val="00577003"/>
    <w:rsid w:val="00577E11"/>
    <w:rsid w:val="00580EFA"/>
    <w:rsid w:val="005810E1"/>
    <w:rsid w:val="00581184"/>
    <w:rsid w:val="00581238"/>
    <w:rsid w:val="005815EB"/>
    <w:rsid w:val="005821BA"/>
    <w:rsid w:val="0058226D"/>
    <w:rsid w:val="005822ED"/>
    <w:rsid w:val="00583162"/>
    <w:rsid w:val="0058362F"/>
    <w:rsid w:val="00583695"/>
    <w:rsid w:val="0058394A"/>
    <w:rsid w:val="0058437E"/>
    <w:rsid w:val="00584707"/>
    <w:rsid w:val="0058498C"/>
    <w:rsid w:val="00584BC7"/>
    <w:rsid w:val="0058546E"/>
    <w:rsid w:val="005861A1"/>
    <w:rsid w:val="005861AB"/>
    <w:rsid w:val="005868C4"/>
    <w:rsid w:val="00586F18"/>
    <w:rsid w:val="00587ED3"/>
    <w:rsid w:val="0059054D"/>
    <w:rsid w:val="005907CD"/>
    <w:rsid w:val="00590829"/>
    <w:rsid w:val="00590A9C"/>
    <w:rsid w:val="00590DC2"/>
    <w:rsid w:val="0059102B"/>
    <w:rsid w:val="005914F1"/>
    <w:rsid w:val="0059158F"/>
    <w:rsid w:val="00591622"/>
    <w:rsid w:val="00595B31"/>
    <w:rsid w:val="00595BCD"/>
    <w:rsid w:val="00596561"/>
    <w:rsid w:val="00596EE5"/>
    <w:rsid w:val="00597C4F"/>
    <w:rsid w:val="00597EA5"/>
    <w:rsid w:val="005A03D0"/>
    <w:rsid w:val="005A16FA"/>
    <w:rsid w:val="005A1872"/>
    <w:rsid w:val="005A1877"/>
    <w:rsid w:val="005A1DA6"/>
    <w:rsid w:val="005A2127"/>
    <w:rsid w:val="005A2659"/>
    <w:rsid w:val="005A2DCD"/>
    <w:rsid w:val="005A2EE6"/>
    <w:rsid w:val="005A34B6"/>
    <w:rsid w:val="005A359F"/>
    <w:rsid w:val="005A3A51"/>
    <w:rsid w:val="005A3FDF"/>
    <w:rsid w:val="005A42E5"/>
    <w:rsid w:val="005A42F8"/>
    <w:rsid w:val="005A4B40"/>
    <w:rsid w:val="005A6BBE"/>
    <w:rsid w:val="005A7278"/>
    <w:rsid w:val="005A7645"/>
    <w:rsid w:val="005B0F42"/>
    <w:rsid w:val="005B19B0"/>
    <w:rsid w:val="005B1CEB"/>
    <w:rsid w:val="005B1E56"/>
    <w:rsid w:val="005B23C3"/>
    <w:rsid w:val="005B34DD"/>
    <w:rsid w:val="005B390D"/>
    <w:rsid w:val="005B4362"/>
    <w:rsid w:val="005B451C"/>
    <w:rsid w:val="005B4843"/>
    <w:rsid w:val="005B4929"/>
    <w:rsid w:val="005B4BBB"/>
    <w:rsid w:val="005B4C3D"/>
    <w:rsid w:val="005B5A86"/>
    <w:rsid w:val="005B5C23"/>
    <w:rsid w:val="005B63FA"/>
    <w:rsid w:val="005B64CE"/>
    <w:rsid w:val="005B765A"/>
    <w:rsid w:val="005B7CCB"/>
    <w:rsid w:val="005C0016"/>
    <w:rsid w:val="005C08D1"/>
    <w:rsid w:val="005C08E1"/>
    <w:rsid w:val="005C13E3"/>
    <w:rsid w:val="005C1AA2"/>
    <w:rsid w:val="005C28BA"/>
    <w:rsid w:val="005C3156"/>
    <w:rsid w:val="005C3649"/>
    <w:rsid w:val="005C46AD"/>
    <w:rsid w:val="005C4B12"/>
    <w:rsid w:val="005C4CBA"/>
    <w:rsid w:val="005C5CB1"/>
    <w:rsid w:val="005C5D1C"/>
    <w:rsid w:val="005C5E7C"/>
    <w:rsid w:val="005C670A"/>
    <w:rsid w:val="005C6BE8"/>
    <w:rsid w:val="005C6CE8"/>
    <w:rsid w:val="005C72F1"/>
    <w:rsid w:val="005C798F"/>
    <w:rsid w:val="005D1284"/>
    <w:rsid w:val="005D1762"/>
    <w:rsid w:val="005D2097"/>
    <w:rsid w:val="005D260E"/>
    <w:rsid w:val="005D2BD6"/>
    <w:rsid w:val="005D3E21"/>
    <w:rsid w:val="005D4D2C"/>
    <w:rsid w:val="005D5ED8"/>
    <w:rsid w:val="005D60A6"/>
    <w:rsid w:val="005D6FDE"/>
    <w:rsid w:val="005D72CC"/>
    <w:rsid w:val="005E05D0"/>
    <w:rsid w:val="005E07D8"/>
    <w:rsid w:val="005E0B87"/>
    <w:rsid w:val="005E103F"/>
    <w:rsid w:val="005E10A6"/>
    <w:rsid w:val="005E1737"/>
    <w:rsid w:val="005E1769"/>
    <w:rsid w:val="005E1F4B"/>
    <w:rsid w:val="005E1F8C"/>
    <w:rsid w:val="005E2829"/>
    <w:rsid w:val="005E2CB1"/>
    <w:rsid w:val="005E3438"/>
    <w:rsid w:val="005E3551"/>
    <w:rsid w:val="005E3EC6"/>
    <w:rsid w:val="005E40DB"/>
    <w:rsid w:val="005E4871"/>
    <w:rsid w:val="005E4A46"/>
    <w:rsid w:val="005E4A60"/>
    <w:rsid w:val="005E4B20"/>
    <w:rsid w:val="005E4EAA"/>
    <w:rsid w:val="005E4ECF"/>
    <w:rsid w:val="005E54C8"/>
    <w:rsid w:val="005E5CA9"/>
    <w:rsid w:val="005E5DD1"/>
    <w:rsid w:val="005E618D"/>
    <w:rsid w:val="005E6569"/>
    <w:rsid w:val="005E6AD9"/>
    <w:rsid w:val="005E707D"/>
    <w:rsid w:val="005F00AE"/>
    <w:rsid w:val="005F0C1B"/>
    <w:rsid w:val="005F1933"/>
    <w:rsid w:val="005F1B2F"/>
    <w:rsid w:val="005F2E34"/>
    <w:rsid w:val="005F2E3B"/>
    <w:rsid w:val="005F3705"/>
    <w:rsid w:val="005F3AA9"/>
    <w:rsid w:val="005F3D71"/>
    <w:rsid w:val="005F3FB0"/>
    <w:rsid w:val="005F4078"/>
    <w:rsid w:val="005F5FE4"/>
    <w:rsid w:val="005F61E0"/>
    <w:rsid w:val="005F6D5A"/>
    <w:rsid w:val="005F708F"/>
    <w:rsid w:val="005F7678"/>
    <w:rsid w:val="0060028B"/>
    <w:rsid w:val="00600810"/>
    <w:rsid w:val="00600F9A"/>
    <w:rsid w:val="0060193D"/>
    <w:rsid w:val="00602AD9"/>
    <w:rsid w:val="00603B1E"/>
    <w:rsid w:val="00603FFB"/>
    <w:rsid w:val="006046D9"/>
    <w:rsid w:val="0060474B"/>
    <w:rsid w:val="00604877"/>
    <w:rsid w:val="00604F18"/>
    <w:rsid w:val="00605094"/>
    <w:rsid w:val="00605786"/>
    <w:rsid w:val="00606AE2"/>
    <w:rsid w:val="006072ED"/>
    <w:rsid w:val="00607871"/>
    <w:rsid w:val="00607908"/>
    <w:rsid w:val="00607BA2"/>
    <w:rsid w:val="00610C0A"/>
    <w:rsid w:val="0061258C"/>
    <w:rsid w:val="006127F3"/>
    <w:rsid w:val="0061372F"/>
    <w:rsid w:val="00613786"/>
    <w:rsid w:val="00613A50"/>
    <w:rsid w:val="00613A85"/>
    <w:rsid w:val="00613ABE"/>
    <w:rsid w:val="00613D67"/>
    <w:rsid w:val="006141D9"/>
    <w:rsid w:val="006144FD"/>
    <w:rsid w:val="00614579"/>
    <w:rsid w:val="0061459F"/>
    <w:rsid w:val="00614979"/>
    <w:rsid w:val="00615295"/>
    <w:rsid w:val="00615917"/>
    <w:rsid w:val="00615DA0"/>
    <w:rsid w:val="00616174"/>
    <w:rsid w:val="0061620F"/>
    <w:rsid w:val="00616C49"/>
    <w:rsid w:val="00616E00"/>
    <w:rsid w:val="0062037A"/>
    <w:rsid w:val="0062054B"/>
    <w:rsid w:val="006228BB"/>
    <w:rsid w:val="00622E6A"/>
    <w:rsid w:val="006230FD"/>
    <w:rsid w:val="00624615"/>
    <w:rsid w:val="006248D8"/>
    <w:rsid w:val="006263F3"/>
    <w:rsid w:val="00626528"/>
    <w:rsid w:val="006266DA"/>
    <w:rsid w:val="00626842"/>
    <w:rsid w:val="00626F7D"/>
    <w:rsid w:val="0062710F"/>
    <w:rsid w:val="00627B73"/>
    <w:rsid w:val="0063015B"/>
    <w:rsid w:val="00630174"/>
    <w:rsid w:val="00630A84"/>
    <w:rsid w:val="00630D9A"/>
    <w:rsid w:val="006313BC"/>
    <w:rsid w:val="00631E49"/>
    <w:rsid w:val="00632131"/>
    <w:rsid w:val="006345AE"/>
    <w:rsid w:val="006347C4"/>
    <w:rsid w:val="006348FD"/>
    <w:rsid w:val="00634DCA"/>
    <w:rsid w:val="006352EF"/>
    <w:rsid w:val="00635529"/>
    <w:rsid w:val="00635F64"/>
    <w:rsid w:val="00636361"/>
    <w:rsid w:val="00636850"/>
    <w:rsid w:val="00637519"/>
    <w:rsid w:val="006375BD"/>
    <w:rsid w:val="00637633"/>
    <w:rsid w:val="006377F2"/>
    <w:rsid w:val="006378D4"/>
    <w:rsid w:val="00637A77"/>
    <w:rsid w:val="00641534"/>
    <w:rsid w:val="00641615"/>
    <w:rsid w:val="00641F31"/>
    <w:rsid w:val="006429AB"/>
    <w:rsid w:val="00642EAC"/>
    <w:rsid w:val="006437B5"/>
    <w:rsid w:val="006445F4"/>
    <w:rsid w:val="006451BA"/>
    <w:rsid w:val="006457DD"/>
    <w:rsid w:val="00645CAF"/>
    <w:rsid w:val="00645CCD"/>
    <w:rsid w:val="00645FE8"/>
    <w:rsid w:val="00646844"/>
    <w:rsid w:val="0065061B"/>
    <w:rsid w:val="00650668"/>
    <w:rsid w:val="00650889"/>
    <w:rsid w:val="00650B29"/>
    <w:rsid w:val="00651795"/>
    <w:rsid w:val="00651C7E"/>
    <w:rsid w:val="00652E8C"/>
    <w:rsid w:val="00653961"/>
    <w:rsid w:val="00653AF8"/>
    <w:rsid w:val="00654B83"/>
    <w:rsid w:val="00655C3B"/>
    <w:rsid w:val="00656030"/>
    <w:rsid w:val="00656ABE"/>
    <w:rsid w:val="00656DE9"/>
    <w:rsid w:val="0065766C"/>
    <w:rsid w:val="00657716"/>
    <w:rsid w:val="00657F51"/>
    <w:rsid w:val="0066115B"/>
    <w:rsid w:val="00661278"/>
    <w:rsid w:val="006613E9"/>
    <w:rsid w:val="00661D73"/>
    <w:rsid w:val="00661D9D"/>
    <w:rsid w:val="00662D36"/>
    <w:rsid w:val="00662D6D"/>
    <w:rsid w:val="00663D67"/>
    <w:rsid w:val="006640AF"/>
    <w:rsid w:val="0066462B"/>
    <w:rsid w:val="0066494E"/>
    <w:rsid w:val="00664A54"/>
    <w:rsid w:val="0066545F"/>
    <w:rsid w:val="006654D4"/>
    <w:rsid w:val="00665C4E"/>
    <w:rsid w:val="006666A1"/>
    <w:rsid w:val="0066750E"/>
    <w:rsid w:val="00670475"/>
    <w:rsid w:val="0067127A"/>
    <w:rsid w:val="006724CD"/>
    <w:rsid w:val="00672ED9"/>
    <w:rsid w:val="006732E6"/>
    <w:rsid w:val="006733AE"/>
    <w:rsid w:val="0067568F"/>
    <w:rsid w:val="006760AF"/>
    <w:rsid w:val="006763F4"/>
    <w:rsid w:val="00677D49"/>
    <w:rsid w:val="006800D4"/>
    <w:rsid w:val="0068014A"/>
    <w:rsid w:val="006803F9"/>
    <w:rsid w:val="006821C1"/>
    <w:rsid w:val="00683260"/>
    <w:rsid w:val="00683B6E"/>
    <w:rsid w:val="00684483"/>
    <w:rsid w:val="006849F2"/>
    <w:rsid w:val="006859A9"/>
    <w:rsid w:val="00685CE6"/>
    <w:rsid w:val="006862B1"/>
    <w:rsid w:val="006863EF"/>
    <w:rsid w:val="00686DBB"/>
    <w:rsid w:val="00687132"/>
    <w:rsid w:val="006877AA"/>
    <w:rsid w:val="0068798F"/>
    <w:rsid w:val="006908FE"/>
    <w:rsid w:val="00690C12"/>
    <w:rsid w:val="006912EE"/>
    <w:rsid w:val="00691BB3"/>
    <w:rsid w:val="0069210F"/>
    <w:rsid w:val="00692941"/>
    <w:rsid w:val="00693F11"/>
    <w:rsid w:val="006941C6"/>
    <w:rsid w:val="006944DF"/>
    <w:rsid w:val="006951D0"/>
    <w:rsid w:val="00695264"/>
    <w:rsid w:val="00695877"/>
    <w:rsid w:val="0069713F"/>
    <w:rsid w:val="0069752C"/>
    <w:rsid w:val="006A0F25"/>
    <w:rsid w:val="006A137F"/>
    <w:rsid w:val="006A32D3"/>
    <w:rsid w:val="006A3AF2"/>
    <w:rsid w:val="006A4FB0"/>
    <w:rsid w:val="006A4FD1"/>
    <w:rsid w:val="006A58F1"/>
    <w:rsid w:val="006A6587"/>
    <w:rsid w:val="006A6A1C"/>
    <w:rsid w:val="006A73D6"/>
    <w:rsid w:val="006A788D"/>
    <w:rsid w:val="006B13E1"/>
    <w:rsid w:val="006B1A14"/>
    <w:rsid w:val="006B1A16"/>
    <w:rsid w:val="006B1CCD"/>
    <w:rsid w:val="006B1F50"/>
    <w:rsid w:val="006B2A78"/>
    <w:rsid w:val="006B35BF"/>
    <w:rsid w:val="006B396B"/>
    <w:rsid w:val="006B3AEB"/>
    <w:rsid w:val="006B3E65"/>
    <w:rsid w:val="006B418F"/>
    <w:rsid w:val="006B5199"/>
    <w:rsid w:val="006B5326"/>
    <w:rsid w:val="006B5368"/>
    <w:rsid w:val="006B5F7A"/>
    <w:rsid w:val="006B6D29"/>
    <w:rsid w:val="006B7DE4"/>
    <w:rsid w:val="006C038A"/>
    <w:rsid w:val="006C09A6"/>
    <w:rsid w:val="006C2D39"/>
    <w:rsid w:val="006C507C"/>
    <w:rsid w:val="006C51D5"/>
    <w:rsid w:val="006C5403"/>
    <w:rsid w:val="006C59CE"/>
    <w:rsid w:val="006C5C3C"/>
    <w:rsid w:val="006C5D88"/>
    <w:rsid w:val="006C683D"/>
    <w:rsid w:val="006C6D6A"/>
    <w:rsid w:val="006C73D9"/>
    <w:rsid w:val="006C796D"/>
    <w:rsid w:val="006C7B03"/>
    <w:rsid w:val="006D01F7"/>
    <w:rsid w:val="006D0605"/>
    <w:rsid w:val="006D0957"/>
    <w:rsid w:val="006D0C49"/>
    <w:rsid w:val="006D1114"/>
    <w:rsid w:val="006D16C8"/>
    <w:rsid w:val="006D1F83"/>
    <w:rsid w:val="006D255E"/>
    <w:rsid w:val="006D3548"/>
    <w:rsid w:val="006D3BC2"/>
    <w:rsid w:val="006D3CA2"/>
    <w:rsid w:val="006D3D38"/>
    <w:rsid w:val="006D453C"/>
    <w:rsid w:val="006D50FC"/>
    <w:rsid w:val="006D5268"/>
    <w:rsid w:val="006D5C66"/>
    <w:rsid w:val="006D7658"/>
    <w:rsid w:val="006D7A57"/>
    <w:rsid w:val="006D7C9F"/>
    <w:rsid w:val="006D7D64"/>
    <w:rsid w:val="006D7DB6"/>
    <w:rsid w:val="006E02C4"/>
    <w:rsid w:val="006E0597"/>
    <w:rsid w:val="006E151E"/>
    <w:rsid w:val="006E1692"/>
    <w:rsid w:val="006E18BF"/>
    <w:rsid w:val="006E1FED"/>
    <w:rsid w:val="006E26CA"/>
    <w:rsid w:val="006E2AFA"/>
    <w:rsid w:val="006E3034"/>
    <w:rsid w:val="006E335A"/>
    <w:rsid w:val="006E33AC"/>
    <w:rsid w:val="006E37BD"/>
    <w:rsid w:val="006E3E27"/>
    <w:rsid w:val="006E3EFC"/>
    <w:rsid w:val="006E4289"/>
    <w:rsid w:val="006E487C"/>
    <w:rsid w:val="006E49B3"/>
    <w:rsid w:val="006E49B5"/>
    <w:rsid w:val="006E49D7"/>
    <w:rsid w:val="006E4E53"/>
    <w:rsid w:val="006E52B1"/>
    <w:rsid w:val="006E6026"/>
    <w:rsid w:val="006E6031"/>
    <w:rsid w:val="006E6395"/>
    <w:rsid w:val="006E67EE"/>
    <w:rsid w:val="006E70A1"/>
    <w:rsid w:val="006E717D"/>
    <w:rsid w:val="006E77A2"/>
    <w:rsid w:val="006E7A93"/>
    <w:rsid w:val="006F0086"/>
    <w:rsid w:val="006F05DF"/>
    <w:rsid w:val="006F0D8E"/>
    <w:rsid w:val="006F0EB6"/>
    <w:rsid w:val="006F112D"/>
    <w:rsid w:val="006F1843"/>
    <w:rsid w:val="006F190A"/>
    <w:rsid w:val="006F1D4D"/>
    <w:rsid w:val="006F248A"/>
    <w:rsid w:val="006F271E"/>
    <w:rsid w:val="006F29DE"/>
    <w:rsid w:val="006F3243"/>
    <w:rsid w:val="006F3B99"/>
    <w:rsid w:val="006F3F81"/>
    <w:rsid w:val="006F5116"/>
    <w:rsid w:val="006F5390"/>
    <w:rsid w:val="006F6631"/>
    <w:rsid w:val="006F794A"/>
    <w:rsid w:val="00701B7E"/>
    <w:rsid w:val="007034F5"/>
    <w:rsid w:val="00703ADE"/>
    <w:rsid w:val="00703C1E"/>
    <w:rsid w:val="007048B1"/>
    <w:rsid w:val="007056E6"/>
    <w:rsid w:val="00705A53"/>
    <w:rsid w:val="00706B9E"/>
    <w:rsid w:val="00706C7B"/>
    <w:rsid w:val="007071EA"/>
    <w:rsid w:val="0070778E"/>
    <w:rsid w:val="00711A41"/>
    <w:rsid w:val="00712253"/>
    <w:rsid w:val="007123C0"/>
    <w:rsid w:val="00712F5B"/>
    <w:rsid w:val="00713767"/>
    <w:rsid w:val="00713BFD"/>
    <w:rsid w:val="007141B0"/>
    <w:rsid w:val="00715509"/>
    <w:rsid w:val="00715581"/>
    <w:rsid w:val="00715754"/>
    <w:rsid w:val="00715AF0"/>
    <w:rsid w:val="0071666F"/>
    <w:rsid w:val="0071727D"/>
    <w:rsid w:val="007176B4"/>
    <w:rsid w:val="0072036F"/>
    <w:rsid w:val="007206F3"/>
    <w:rsid w:val="00720ED1"/>
    <w:rsid w:val="00721413"/>
    <w:rsid w:val="007217AE"/>
    <w:rsid w:val="007217CC"/>
    <w:rsid w:val="007218AC"/>
    <w:rsid w:val="00722165"/>
    <w:rsid w:val="00722359"/>
    <w:rsid w:val="007228FA"/>
    <w:rsid w:val="00722AB0"/>
    <w:rsid w:val="00722B40"/>
    <w:rsid w:val="00722FEF"/>
    <w:rsid w:val="00723131"/>
    <w:rsid w:val="00723C25"/>
    <w:rsid w:val="00723DD0"/>
    <w:rsid w:val="00723E7C"/>
    <w:rsid w:val="00723F7E"/>
    <w:rsid w:val="00724188"/>
    <w:rsid w:val="007243F2"/>
    <w:rsid w:val="007265BA"/>
    <w:rsid w:val="00727321"/>
    <w:rsid w:val="00727E4C"/>
    <w:rsid w:val="00730305"/>
    <w:rsid w:val="00730335"/>
    <w:rsid w:val="0073111D"/>
    <w:rsid w:val="00731A10"/>
    <w:rsid w:val="00731BCC"/>
    <w:rsid w:val="00731DBC"/>
    <w:rsid w:val="007332F5"/>
    <w:rsid w:val="007336B5"/>
    <w:rsid w:val="00734179"/>
    <w:rsid w:val="007347F7"/>
    <w:rsid w:val="007348D4"/>
    <w:rsid w:val="007362CE"/>
    <w:rsid w:val="0073678F"/>
    <w:rsid w:val="007370F6"/>
    <w:rsid w:val="00737396"/>
    <w:rsid w:val="007379B2"/>
    <w:rsid w:val="0074055E"/>
    <w:rsid w:val="00741B10"/>
    <w:rsid w:val="00742627"/>
    <w:rsid w:val="00743340"/>
    <w:rsid w:val="0074348C"/>
    <w:rsid w:val="00743A4C"/>
    <w:rsid w:val="00743CB7"/>
    <w:rsid w:val="0074420A"/>
    <w:rsid w:val="0074529C"/>
    <w:rsid w:val="0074541A"/>
    <w:rsid w:val="00745AC1"/>
    <w:rsid w:val="00745D21"/>
    <w:rsid w:val="00746061"/>
    <w:rsid w:val="00746B6E"/>
    <w:rsid w:val="00747711"/>
    <w:rsid w:val="00747AA7"/>
    <w:rsid w:val="00750C9A"/>
    <w:rsid w:val="00750EE6"/>
    <w:rsid w:val="00751D3C"/>
    <w:rsid w:val="00751DC5"/>
    <w:rsid w:val="00751F18"/>
    <w:rsid w:val="00752626"/>
    <w:rsid w:val="00753799"/>
    <w:rsid w:val="00753B01"/>
    <w:rsid w:val="00755213"/>
    <w:rsid w:val="00755242"/>
    <w:rsid w:val="00755423"/>
    <w:rsid w:val="00755967"/>
    <w:rsid w:val="00755A1E"/>
    <w:rsid w:val="00755A45"/>
    <w:rsid w:val="00755B7B"/>
    <w:rsid w:val="00755CFC"/>
    <w:rsid w:val="007567B6"/>
    <w:rsid w:val="00756A14"/>
    <w:rsid w:val="00757E6C"/>
    <w:rsid w:val="007604C6"/>
    <w:rsid w:val="00761AFF"/>
    <w:rsid w:val="0076242E"/>
    <w:rsid w:val="007624EE"/>
    <w:rsid w:val="00762BD5"/>
    <w:rsid w:val="00762E0A"/>
    <w:rsid w:val="00763638"/>
    <w:rsid w:val="00763685"/>
    <w:rsid w:val="00763A9A"/>
    <w:rsid w:val="007643E7"/>
    <w:rsid w:val="007652E4"/>
    <w:rsid w:val="00765C36"/>
    <w:rsid w:val="00765F16"/>
    <w:rsid w:val="0076641F"/>
    <w:rsid w:val="00766648"/>
    <w:rsid w:val="00766DF3"/>
    <w:rsid w:val="00766E1D"/>
    <w:rsid w:val="00767565"/>
    <w:rsid w:val="00770E88"/>
    <w:rsid w:val="00771E09"/>
    <w:rsid w:val="00771E3D"/>
    <w:rsid w:val="00772037"/>
    <w:rsid w:val="00772435"/>
    <w:rsid w:val="0077265C"/>
    <w:rsid w:val="00772E02"/>
    <w:rsid w:val="00772F6B"/>
    <w:rsid w:val="00773316"/>
    <w:rsid w:val="0077432E"/>
    <w:rsid w:val="007744B7"/>
    <w:rsid w:val="007747CB"/>
    <w:rsid w:val="00774835"/>
    <w:rsid w:val="00774D2E"/>
    <w:rsid w:val="00774E86"/>
    <w:rsid w:val="00774F93"/>
    <w:rsid w:val="00775014"/>
    <w:rsid w:val="00775BFC"/>
    <w:rsid w:val="00776D50"/>
    <w:rsid w:val="00776D83"/>
    <w:rsid w:val="00780A1C"/>
    <w:rsid w:val="007810C3"/>
    <w:rsid w:val="00781A1A"/>
    <w:rsid w:val="00781F47"/>
    <w:rsid w:val="00782048"/>
    <w:rsid w:val="0078366F"/>
    <w:rsid w:val="007839C8"/>
    <w:rsid w:val="00783E11"/>
    <w:rsid w:val="0078483C"/>
    <w:rsid w:val="0078499A"/>
    <w:rsid w:val="0078535F"/>
    <w:rsid w:val="00785663"/>
    <w:rsid w:val="00785774"/>
    <w:rsid w:val="00786298"/>
    <w:rsid w:val="007868CB"/>
    <w:rsid w:val="0079046D"/>
    <w:rsid w:val="00790A6F"/>
    <w:rsid w:val="00790B70"/>
    <w:rsid w:val="0079118B"/>
    <w:rsid w:val="00791ADB"/>
    <w:rsid w:val="00791F33"/>
    <w:rsid w:val="0079201D"/>
    <w:rsid w:val="0079242C"/>
    <w:rsid w:val="00792F46"/>
    <w:rsid w:val="007931D7"/>
    <w:rsid w:val="00793DAC"/>
    <w:rsid w:val="00793F7C"/>
    <w:rsid w:val="00794000"/>
    <w:rsid w:val="00794184"/>
    <w:rsid w:val="00794BD4"/>
    <w:rsid w:val="007974D1"/>
    <w:rsid w:val="00797568"/>
    <w:rsid w:val="00797AB0"/>
    <w:rsid w:val="007A057B"/>
    <w:rsid w:val="007A095D"/>
    <w:rsid w:val="007A0BE1"/>
    <w:rsid w:val="007A11E0"/>
    <w:rsid w:val="007A1620"/>
    <w:rsid w:val="007A191D"/>
    <w:rsid w:val="007A1C89"/>
    <w:rsid w:val="007A2D0D"/>
    <w:rsid w:val="007A2FD5"/>
    <w:rsid w:val="007A377A"/>
    <w:rsid w:val="007A487C"/>
    <w:rsid w:val="007A5BB1"/>
    <w:rsid w:val="007A5C56"/>
    <w:rsid w:val="007A5D90"/>
    <w:rsid w:val="007A62E4"/>
    <w:rsid w:val="007A7586"/>
    <w:rsid w:val="007A7769"/>
    <w:rsid w:val="007A7D79"/>
    <w:rsid w:val="007B0036"/>
    <w:rsid w:val="007B0181"/>
    <w:rsid w:val="007B01BA"/>
    <w:rsid w:val="007B253F"/>
    <w:rsid w:val="007B2B18"/>
    <w:rsid w:val="007B3411"/>
    <w:rsid w:val="007B38F9"/>
    <w:rsid w:val="007B3F5D"/>
    <w:rsid w:val="007B40BD"/>
    <w:rsid w:val="007B44CE"/>
    <w:rsid w:val="007B46CD"/>
    <w:rsid w:val="007B5429"/>
    <w:rsid w:val="007B5FD6"/>
    <w:rsid w:val="007B600A"/>
    <w:rsid w:val="007B6147"/>
    <w:rsid w:val="007B6409"/>
    <w:rsid w:val="007B68EB"/>
    <w:rsid w:val="007B690D"/>
    <w:rsid w:val="007B75DF"/>
    <w:rsid w:val="007B7948"/>
    <w:rsid w:val="007B7AE7"/>
    <w:rsid w:val="007B7F55"/>
    <w:rsid w:val="007C1113"/>
    <w:rsid w:val="007C1170"/>
    <w:rsid w:val="007C24B6"/>
    <w:rsid w:val="007C2F6D"/>
    <w:rsid w:val="007C3418"/>
    <w:rsid w:val="007C36C0"/>
    <w:rsid w:val="007C37E5"/>
    <w:rsid w:val="007C3BF2"/>
    <w:rsid w:val="007C48F5"/>
    <w:rsid w:val="007C5201"/>
    <w:rsid w:val="007C650B"/>
    <w:rsid w:val="007C6809"/>
    <w:rsid w:val="007C6863"/>
    <w:rsid w:val="007C6AC0"/>
    <w:rsid w:val="007C70ED"/>
    <w:rsid w:val="007C7741"/>
    <w:rsid w:val="007C7B08"/>
    <w:rsid w:val="007D070E"/>
    <w:rsid w:val="007D0734"/>
    <w:rsid w:val="007D0E2E"/>
    <w:rsid w:val="007D19E1"/>
    <w:rsid w:val="007D1A40"/>
    <w:rsid w:val="007D2015"/>
    <w:rsid w:val="007D20FE"/>
    <w:rsid w:val="007D331D"/>
    <w:rsid w:val="007D3CE5"/>
    <w:rsid w:val="007D4358"/>
    <w:rsid w:val="007D45D7"/>
    <w:rsid w:val="007D4DF0"/>
    <w:rsid w:val="007D4EB9"/>
    <w:rsid w:val="007D4ECC"/>
    <w:rsid w:val="007D51DC"/>
    <w:rsid w:val="007D5242"/>
    <w:rsid w:val="007D5943"/>
    <w:rsid w:val="007D5A53"/>
    <w:rsid w:val="007D5E5B"/>
    <w:rsid w:val="007D6163"/>
    <w:rsid w:val="007D619D"/>
    <w:rsid w:val="007D63C5"/>
    <w:rsid w:val="007D706D"/>
    <w:rsid w:val="007D7620"/>
    <w:rsid w:val="007D7E3B"/>
    <w:rsid w:val="007E086C"/>
    <w:rsid w:val="007E12A1"/>
    <w:rsid w:val="007E162C"/>
    <w:rsid w:val="007E1D9C"/>
    <w:rsid w:val="007E1EEE"/>
    <w:rsid w:val="007E2638"/>
    <w:rsid w:val="007E3BFD"/>
    <w:rsid w:val="007E48D8"/>
    <w:rsid w:val="007E5455"/>
    <w:rsid w:val="007E5497"/>
    <w:rsid w:val="007E54A8"/>
    <w:rsid w:val="007E5584"/>
    <w:rsid w:val="007E559D"/>
    <w:rsid w:val="007E5B5E"/>
    <w:rsid w:val="007E7277"/>
    <w:rsid w:val="007E7D07"/>
    <w:rsid w:val="007F0EFA"/>
    <w:rsid w:val="007F1351"/>
    <w:rsid w:val="007F15A8"/>
    <w:rsid w:val="007F178F"/>
    <w:rsid w:val="007F25E4"/>
    <w:rsid w:val="007F2B74"/>
    <w:rsid w:val="007F32DC"/>
    <w:rsid w:val="007F336A"/>
    <w:rsid w:val="007F34CE"/>
    <w:rsid w:val="007F4BDD"/>
    <w:rsid w:val="007F4E39"/>
    <w:rsid w:val="007F5081"/>
    <w:rsid w:val="007F51CA"/>
    <w:rsid w:val="007F54FD"/>
    <w:rsid w:val="007F590F"/>
    <w:rsid w:val="007F5C2D"/>
    <w:rsid w:val="007F65B4"/>
    <w:rsid w:val="007F6DD4"/>
    <w:rsid w:val="007F72C8"/>
    <w:rsid w:val="007F7928"/>
    <w:rsid w:val="007F7D2F"/>
    <w:rsid w:val="007F7FDD"/>
    <w:rsid w:val="00800388"/>
    <w:rsid w:val="008009A1"/>
    <w:rsid w:val="00801695"/>
    <w:rsid w:val="00802534"/>
    <w:rsid w:val="00802A89"/>
    <w:rsid w:val="00802C4C"/>
    <w:rsid w:val="00803031"/>
    <w:rsid w:val="00804415"/>
    <w:rsid w:val="00804C7E"/>
    <w:rsid w:val="00804E48"/>
    <w:rsid w:val="00806210"/>
    <w:rsid w:val="0080629A"/>
    <w:rsid w:val="0080632B"/>
    <w:rsid w:val="00806DB6"/>
    <w:rsid w:val="00806EE8"/>
    <w:rsid w:val="00807A48"/>
    <w:rsid w:val="008101B2"/>
    <w:rsid w:val="00810550"/>
    <w:rsid w:val="00810653"/>
    <w:rsid w:val="00810763"/>
    <w:rsid w:val="00810ADF"/>
    <w:rsid w:val="0081199D"/>
    <w:rsid w:val="00811F08"/>
    <w:rsid w:val="00811FE2"/>
    <w:rsid w:val="008122C3"/>
    <w:rsid w:val="00812841"/>
    <w:rsid w:val="00813B59"/>
    <w:rsid w:val="0081433F"/>
    <w:rsid w:val="00815180"/>
    <w:rsid w:val="008152FC"/>
    <w:rsid w:val="008156BB"/>
    <w:rsid w:val="008162C0"/>
    <w:rsid w:val="008167DD"/>
    <w:rsid w:val="00816F33"/>
    <w:rsid w:val="00817D34"/>
    <w:rsid w:val="00817DD6"/>
    <w:rsid w:val="00820468"/>
    <w:rsid w:val="00820804"/>
    <w:rsid w:val="00820ABE"/>
    <w:rsid w:val="008214F7"/>
    <w:rsid w:val="00821506"/>
    <w:rsid w:val="00821753"/>
    <w:rsid w:val="00821772"/>
    <w:rsid w:val="00822564"/>
    <w:rsid w:val="00822D75"/>
    <w:rsid w:val="00823206"/>
    <w:rsid w:val="008233B8"/>
    <w:rsid w:val="00823814"/>
    <w:rsid w:val="00823AEB"/>
    <w:rsid w:val="00823B33"/>
    <w:rsid w:val="00823F1D"/>
    <w:rsid w:val="0082437F"/>
    <w:rsid w:val="008243F3"/>
    <w:rsid w:val="00824D92"/>
    <w:rsid w:val="008254E8"/>
    <w:rsid w:val="008255FC"/>
    <w:rsid w:val="00825603"/>
    <w:rsid w:val="00825971"/>
    <w:rsid w:val="00825D61"/>
    <w:rsid w:val="00827494"/>
    <w:rsid w:val="00827498"/>
    <w:rsid w:val="00827AAA"/>
    <w:rsid w:val="008300C9"/>
    <w:rsid w:val="00830AA8"/>
    <w:rsid w:val="008311CE"/>
    <w:rsid w:val="008316A5"/>
    <w:rsid w:val="0083245E"/>
    <w:rsid w:val="008330B9"/>
    <w:rsid w:val="0083310C"/>
    <w:rsid w:val="00833214"/>
    <w:rsid w:val="008332A0"/>
    <w:rsid w:val="00833328"/>
    <w:rsid w:val="00833349"/>
    <w:rsid w:val="00833690"/>
    <w:rsid w:val="0083385E"/>
    <w:rsid w:val="00833A07"/>
    <w:rsid w:val="00833D88"/>
    <w:rsid w:val="00834099"/>
    <w:rsid w:val="008342FB"/>
    <w:rsid w:val="00834663"/>
    <w:rsid w:val="00835502"/>
    <w:rsid w:val="00836B4D"/>
    <w:rsid w:val="00836CAB"/>
    <w:rsid w:val="00836FA1"/>
    <w:rsid w:val="008378F6"/>
    <w:rsid w:val="00837F79"/>
    <w:rsid w:val="0084097B"/>
    <w:rsid w:val="0084127A"/>
    <w:rsid w:val="00842911"/>
    <w:rsid w:val="008434D1"/>
    <w:rsid w:val="00844407"/>
    <w:rsid w:val="00845037"/>
    <w:rsid w:val="008451AA"/>
    <w:rsid w:val="008451E5"/>
    <w:rsid w:val="008458A5"/>
    <w:rsid w:val="00845942"/>
    <w:rsid w:val="00845BE6"/>
    <w:rsid w:val="00845E6E"/>
    <w:rsid w:val="008460FD"/>
    <w:rsid w:val="008465B1"/>
    <w:rsid w:val="008466AB"/>
    <w:rsid w:val="00846A0E"/>
    <w:rsid w:val="00846B98"/>
    <w:rsid w:val="00847230"/>
    <w:rsid w:val="00847571"/>
    <w:rsid w:val="008479D2"/>
    <w:rsid w:val="00847EAA"/>
    <w:rsid w:val="0085006D"/>
    <w:rsid w:val="00852737"/>
    <w:rsid w:val="00852997"/>
    <w:rsid w:val="008529C2"/>
    <w:rsid w:val="00852CD2"/>
    <w:rsid w:val="00852E6E"/>
    <w:rsid w:val="00854EAB"/>
    <w:rsid w:val="00854F4A"/>
    <w:rsid w:val="008553D7"/>
    <w:rsid w:val="00855975"/>
    <w:rsid w:val="00855CA9"/>
    <w:rsid w:val="0086037A"/>
    <w:rsid w:val="0086049B"/>
    <w:rsid w:val="00860E2D"/>
    <w:rsid w:val="00860EB8"/>
    <w:rsid w:val="00861818"/>
    <w:rsid w:val="00861BAE"/>
    <w:rsid w:val="00861F79"/>
    <w:rsid w:val="0086215A"/>
    <w:rsid w:val="008622FF"/>
    <w:rsid w:val="0086343E"/>
    <w:rsid w:val="00863455"/>
    <w:rsid w:val="008637ED"/>
    <w:rsid w:val="00863FD0"/>
    <w:rsid w:val="00864A65"/>
    <w:rsid w:val="00864D04"/>
    <w:rsid w:val="00864D6E"/>
    <w:rsid w:val="00865614"/>
    <w:rsid w:val="00865735"/>
    <w:rsid w:val="00865D9B"/>
    <w:rsid w:val="0086610F"/>
    <w:rsid w:val="00866CBD"/>
    <w:rsid w:val="00867D8E"/>
    <w:rsid w:val="00867F34"/>
    <w:rsid w:val="00870839"/>
    <w:rsid w:val="00870F83"/>
    <w:rsid w:val="00871404"/>
    <w:rsid w:val="00871AA2"/>
    <w:rsid w:val="00871AD7"/>
    <w:rsid w:val="008727A1"/>
    <w:rsid w:val="008729C9"/>
    <w:rsid w:val="00872B34"/>
    <w:rsid w:val="00872DCE"/>
    <w:rsid w:val="00872FF2"/>
    <w:rsid w:val="00873412"/>
    <w:rsid w:val="00873ABB"/>
    <w:rsid w:val="00874B36"/>
    <w:rsid w:val="00876001"/>
    <w:rsid w:val="00876313"/>
    <w:rsid w:val="0087693F"/>
    <w:rsid w:val="00876C04"/>
    <w:rsid w:val="00876D38"/>
    <w:rsid w:val="00877A70"/>
    <w:rsid w:val="00880058"/>
    <w:rsid w:val="00880287"/>
    <w:rsid w:val="00880356"/>
    <w:rsid w:val="008804E4"/>
    <w:rsid w:val="0088094D"/>
    <w:rsid w:val="00880AEA"/>
    <w:rsid w:val="00880F3A"/>
    <w:rsid w:val="00881369"/>
    <w:rsid w:val="00881661"/>
    <w:rsid w:val="008823CB"/>
    <w:rsid w:val="0088265E"/>
    <w:rsid w:val="00882E72"/>
    <w:rsid w:val="00882F6B"/>
    <w:rsid w:val="00883927"/>
    <w:rsid w:val="00883B1D"/>
    <w:rsid w:val="00884AC7"/>
    <w:rsid w:val="00884C4D"/>
    <w:rsid w:val="0088523E"/>
    <w:rsid w:val="008854E2"/>
    <w:rsid w:val="00886413"/>
    <w:rsid w:val="00886BEB"/>
    <w:rsid w:val="00886DAA"/>
    <w:rsid w:val="00887275"/>
    <w:rsid w:val="00887C29"/>
    <w:rsid w:val="008902FF"/>
    <w:rsid w:val="0089096C"/>
    <w:rsid w:val="00890A60"/>
    <w:rsid w:val="00890CA5"/>
    <w:rsid w:val="00890FFD"/>
    <w:rsid w:val="00891580"/>
    <w:rsid w:val="00891AAB"/>
    <w:rsid w:val="00891F0B"/>
    <w:rsid w:val="00892312"/>
    <w:rsid w:val="00893122"/>
    <w:rsid w:val="0089381F"/>
    <w:rsid w:val="008938C5"/>
    <w:rsid w:val="008938EE"/>
    <w:rsid w:val="00893CC2"/>
    <w:rsid w:val="0089412B"/>
    <w:rsid w:val="00894458"/>
    <w:rsid w:val="00894BC6"/>
    <w:rsid w:val="00894D5E"/>
    <w:rsid w:val="00894D9E"/>
    <w:rsid w:val="00895268"/>
    <w:rsid w:val="00896226"/>
    <w:rsid w:val="00896CAC"/>
    <w:rsid w:val="008A061B"/>
    <w:rsid w:val="008A0704"/>
    <w:rsid w:val="008A18E3"/>
    <w:rsid w:val="008A1D4C"/>
    <w:rsid w:val="008A233D"/>
    <w:rsid w:val="008A24AB"/>
    <w:rsid w:val="008A2CD9"/>
    <w:rsid w:val="008A314D"/>
    <w:rsid w:val="008A3553"/>
    <w:rsid w:val="008A4575"/>
    <w:rsid w:val="008A45AE"/>
    <w:rsid w:val="008A4A7F"/>
    <w:rsid w:val="008A4D5A"/>
    <w:rsid w:val="008A4EC6"/>
    <w:rsid w:val="008A64DB"/>
    <w:rsid w:val="008A6F8E"/>
    <w:rsid w:val="008A7577"/>
    <w:rsid w:val="008A7C48"/>
    <w:rsid w:val="008B02E2"/>
    <w:rsid w:val="008B04DC"/>
    <w:rsid w:val="008B0A14"/>
    <w:rsid w:val="008B0B22"/>
    <w:rsid w:val="008B1FC9"/>
    <w:rsid w:val="008B210C"/>
    <w:rsid w:val="008B2ED7"/>
    <w:rsid w:val="008B4392"/>
    <w:rsid w:val="008B4D20"/>
    <w:rsid w:val="008B5516"/>
    <w:rsid w:val="008B555B"/>
    <w:rsid w:val="008B5A3D"/>
    <w:rsid w:val="008B5AD7"/>
    <w:rsid w:val="008B5FE4"/>
    <w:rsid w:val="008B6158"/>
    <w:rsid w:val="008B6348"/>
    <w:rsid w:val="008B64CC"/>
    <w:rsid w:val="008B6F84"/>
    <w:rsid w:val="008B747B"/>
    <w:rsid w:val="008B75DC"/>
    <w:rsid w:val="008B7F5F"/>
    <w:rsid w:val="008C0263"/>
    <w:rsid w:val="008C0C89"/>
    <w:rsid w:val="008C1218"/>
    <w:rsid w:val="008C128B"/>
    <w:rsid w:val="008C1A1C"/>
    <w:rsid w:val="008C2AD2"/>
    <w:rsid w:val="008C2CA5"/>
    <w:rsid w:val="008C341F"/>
    <w:rsid w:val="008C3A33"/>
    <w:rsid w:val="008C41AC"/>
    <w:rsid w:val="008C44A7"/>
    <w:rsid w:val="008C45CE"/>
    <w:rsid w:val="008C4C7E"/>
    <w:rsid w:val="008C5588"/>
    <w:rsid w:val="008C5C46"/>
    <w:rsid w:val="008C6333"/>
    <w:rsid w:val="008C6B34"/>
    <w:rsid w:val="008C7348"/>
    <w:rsid w:val="008C79B0"/>
    <w:rsid w:val="008C7C52"/>
    <w:rsid w:val="008D0EA7"/>
    <w:rsid w:val="008D11B4"/>
    <w:rsid w:val="008D1B60"/>
    <w:rsid w:val="008D219B"/>
    <w:rsid w:val="008D29F2"/>
    <w:rsid w:val="008D2AD9"/>
    <w:rsid w:val="008D345C"/>
    <w:rsid w:val="008D37D7"/>
    <w:rsid w:val="008D4744"/>
    <w:rsid w:val="008D47FE"/>
    <w:rsid w:val="008D4996"/>
    <w:rsid w:val="008D4DFA"/>
    <w:rsid w:val="008D5136"/>
    <w:rsid w:val="008D7830"/>
    <w:rsid w:val="008E190D"/>
    <w:rsid w:val="008E1FE0"/>
    <w:rsid w:val="008E24A2"/>
    <w:rsid w:val="008E2872"/>
    <w:rsid w:val="008E2D21"/>
    <w:rsid w:val="008E37F6"/>
    <w:rsid w:val="008E4170"/>
    <w:rsid w:val="008E4518"/>
    <w:rsid w:val="008E4E01"/>
    <w:rsid w:val="008E5246"/>
    <w:rsid w:val="008E5D11"/>
    <w:rsid w:val="008E6701"/>
    <w:rsid w:val="008E67BA"/>
    <w:rsid w:val="008E7A9E"/>
    <w:rsid w:val="008F014A"/>
    <w:rsid w:val="008F0308"/>
    <w:rsid w:val="008F1D59"/>
    <w:rsid w:val="008F2078"/>
    <w:rsid w:val="008F2080"/>
    <w:rsid w:val="008F2826"/>
    <w:rsid w:val="008F45BC"/>
    <w:rsid w:val="008F496B"/>
    <w:rsid w:val="008F5041"/>
    <w:rsid w:val="008F63AA"/>
    <w:rsid w:val="008F65A0"/>
    <w:rsid w:val="008F69EB"/>
    <w:rsid w:val="00900F60"/>
    <w:rsid w:val="00901045"/>
    <w:rsid w:val="0090133F"/>
    <w:rsid w:val="009019E9"/>
    <w:rsid w:val="00902365"/>
    <w:rsid w:val="00902508"/>
    <w:rsid w:val="00902A42"/>
    <w:rsid w:val="00902C3B"/>
    <w:rsid w:val="00903354"/>
    <w:rsid w:val="009033A6"/>
    <w:rsid w:val="00903600"/>
    <w:rsid w:val="00903DE5"/>
    <w:rsid w:val="00903E34"/>
    <w:rsid w:val="00904AAE"/>
    <w:rsid w:val="00904D52"/>
    <w:rsid w:val="00905333"/>
    <w:rsid w:val="00906348"/>
    <w:rsid w:val="00906A4D"/>
    <w:rsid w:val="00907CB0"/>
    <w:rsid w:val="009108EB"/>
    <w:rsid w:val="00911331"/>
    <w:rsid w:val="009115F7"/>
    <w:rsid w:val="00911D2E"/>
    <w:rsid w:val="00911E9F"/>
    <w:rsid w:val="00912069"/>
    <w:rsid w:val="00912FC8"/>
    <w:rsid w:val="00913AC4"/>
    <w:rsid w:val="00913DBB"/>
    <w:rsid w:val="00914DFF"/>
    <w:rsid w:val="00914ECB"/>
    <w:rsid w:val="0091572A"/>
    <w:rsid w:val="00915A70"/>
    <w:rsid w:val="00915FB9"/>
    <w:rsid w:val="00916487"/>
    <w:rsid w:val="009168D9"/>
    <w:rsid w:val="009171F7"/>
    <w:rsid w:val="00917DAF"/>
    <w:rsid w:val="0092028A"/>
    <w:rsid w:val="009207F4"/>
    <w:rsid w:val="00920A91"/>
    <w:rsid w:val="00920AEC"/>
    <w:rsid w:val="0092100E"/>
    <w:rsid w:val="00921E75"/>
    <w:rsid w:val="009224D8"/>
    <w:rsid w:val="009226BA"/>
    <w:rsid w:val="00922AED"/>
    <w:rsid w:val="009233CE"/>
    <w:rsid w:val="00923A0A"/>
    <w:rsid w:val="00923D90"/>
    <w:rsid w:val="0092465B"/>
    <w:rsid w:val="00924D18"/>
    <w:rsid w:val="0092671E"/>
    <w:rsid w:val="00926794"/>
    <w:rsid w:val="00927428"/>
    <w:rsid w:val="00927475"/>
    <w:rsid w:val="00927B61"/>
    <w:rsid w:val="00927EB9"/>
    <w:rsid w:val="00927FA6"/>
    <w:rsid w:val="009306BC"/>
    <w:rsid w:val="00930F60"/>
    <w:rsid w:val="00931252"/>
    <w:rsid w:val="0093174F"/>
    <w:rsid w:val="0093217C"/>
    <w:rsid w:val="009323D1"/>
    <w:rsid w:val="009324F9"/>
    <w:rsid w:val="0093321C"/>
    <w:rsid w:val="009332CE"/>
    <w:rsid w:val="00933429"/>
    <w:rsid w:val="0093354F"/>
    <w:rsid w:val="009339DB"/>
    <w:rsid w:val="00934ACB"/>
    <w:rsid w:val="00934EFA"/>
    <w:rsid w:val="00934FC8"/>
    <w:rsid w:val="00935AC6"/>
    <w:rsid w:val="00935FB3"/>
    <w:rsid w:val="00936BBA"/>
    <w:rsid w:val="00936E43"/>
    <w:rsid w:val="0093725E"/>
    <w:rsid w:val="00937B71"/>
    <w:rsid w:val="00937D07"/>
    <w:rsid w:val="009406B3"/>
    <w:rsid w:val="009407D2"/>
    <w:rsid w:val="009409DD"/>
    <w:rsid w:val="009414E0"/>
    <w:rsid w:val="00941818"/>
    <w:rsid w:val="00941D8E"/>
    <w:rsid w:val="00942177"/>
    <w:rsid w:val="00942AE9"/>
    <w:rsid w:val="00944315"/>
    <w:rsid w:val="00944749"/>
    <w:rsid w:val="00944E8D"/>
    <w:rsid w:val="00945946"/>
    <w:rsid w:val="00946527"/>
    <w:rsid w:val="009502F9"/>
    <w:rsid w:val="009504E3"/>
    <w:rsid w:val="009505D9"/>
    <w:rsid w:val="009507E5"/>
    <w:rsid w:val="0095086A"/>
    <w:rsid w:val="009519C0"/>
    <w:rsid w:val="0095265D"/>
    <w:rsid w:val="00952905"/>
    <w:rsid w:val="00952BC1"/>
    <w:rsid w:val="00953B01"/>
    <w:rsid w:val="009540EF"/>
    <w:rsid w:val="0095538C"/>
    <w:rsid w:val="00955A46"/>
    <w:rsid w:val="00955D1C"/>
    <w:rsid w:val="00956319"/>
    <w:rsid w:val="0095640F"/>
    <w:rsid w:val="00956828"/>
    <w:rsid w:val="00957378"/>
    <w:rsid w:val="00957591"/>
    <w:rsid w:val="0096047B"/>
    <w:rsid w:val="00960538"/>
    <w:rsid w:val="00960863"/>
    <w:rsid w:val="00960942"/>
    <w:rsid w:val="009612A8"/>
    <w:rsid w:val="00961D1D"/>
    <w:rsid w:val="00961E1B"/>
    <w:rsid w:val="00961E56"/>
    <w:rsid w:val="00961E8D"/>
    <w:rsid w:val="00962123"/>
    <w:rsid w:val="0096277C"/>
    <w:rsid w:val="00962E58"/>
    <w:rsid w:val="00963B39"/>
    <w:rsid w:val="00964048"/>
    <w:rsid w:val="009649A5"/>
    <w:rsid w:val="00964B6D"/>
    <w:rsid w:val="00964D00"/>
    <w:rsid w:val="009654D1"/>
    <w:rsid w:val="009674A7"/>
    <w:rsid w:val="0096778F"/>
    <w:rsid w:val="009679AE"/>
    <w:rsid w:val="00970163"/>
    <w:rsid w:val="0097021E"/>
    <w:rsid w:val="00971816"/>
    <w:rsid w:val="00971E2C"/>
    <w:rsid w:val="0097216E"/>
    <w:rsid w:val="009732F0"/>
    <w:rsid w:val="0097339E"/>
    <w:rsid w:val="009738CF"/>
    <w:rsid w:val="0097570F"/>
    <w:rsid w:val="009761F7"/>
    <w:rsid w:val="0097656D"/>
    <w:rsid w:val="009769E7"/>
    <w:rsid w:val="0097734A"/>
    <w:rsid w:val="009775B7"/>
    <w:rsid w:val="0097785B"/>
    <w:rsid w:val="009779DB"/>
    <w:rsid w:val="00977BC3"/>
    <w:rsid w:val="00980B8B"/>
    <w:rsid w:val="009812B8"/>
    <w:rsid w:val="009816E7"/>
    <w:rsid w:val="00981812"/>
    <w:rsid w:val="00981A21"/>
    <w:rsid w:val="009820FF"/>
    <w:rsid w:val="00982266"/>
    <w:rsid w:val="009824B0"/>
    <w:rsid w:val="00982662"/>
    <w:rsid w:val="00982859"/>
    <w:rsid w:val="00983839"/>
    <w:rsid w:val="00983AB7"/>
    <w:rsid w:val="00983F38"/>
    <w:rsid w:val="00984182"/>
    <w:rsid w:val="0098460B"/>
    <w:rsid w:val="0098555A"/>
    <w:rsid w:val="009856A0"/>
    <w:rsid w:val="00985A01"/>
    <w:rsid w:val="00985CFB"/>
    <w:rsid w:val="00985FED"/>
    <w:rsid w:val="009868CD"/>
    <w:rsid w:val="0098770C"/>
    <w:rsid w:val="009909D3"/>
    <w:rsid w:val="009913C9"/>
    <w:rsid w:val="00991644"/>
    <w:rsid w:val="00991EE8"/>
    <w:rsid w:val="00991F9E"/>
    <w:rsid w:val="009928E2"/>
    <w:rsid w:val="00993E6B"/>
    <w:rsid w:val="00994C9F"/>
    <w:rsid w:val="00994D3B"/>
    <w:rsid w:val="009954AC"/>
    <w:rsid w:val="0099618A"/>
    <w:rsid w:val="00996FC9"/>
    <w:rsid w:val="00997291"/>
    <w:rsid w:val="00997BA5"/>
    <w:rsid w:val="00997C91"/>
    <w:rsid w:val="00997F37"/>
    <w:rsid w:val="009A0457"/>
    <w:rsid w:val="009A0489"/>
    <w:rsid w:val="009A0690"/>
    <w:rsid w:val="009A0C98"/>
    <w:rsid w:val="009A15A3"/>
    <w:rsid w:val="009A1619"/>
    <w:rsid w:val="009A16B0"/>
    <w:rsid w:val="009A2CC8"/>
    <w:rsid w:val="009A34C1"/>
    <w:rsid w:val="009A47CA"/>
    <w:rsid w:val="009A4802"/>
    <w:rsid w:val="009A4C1D"/>
    <w:rsid w:val="009A4D90"/>
    <w:rsid w:val="009A5007"/>
    <w:rsid w:val="009A5030"/>
    <w:rsid w:val="009A5520"/>
    <w:rsid w:val="009A5CCD"/>
    <w:rsid w:val="009A6D30"/>
    <w:rsid w:val="009A717B"/>
    <w:rsid w:val="009A76E6"/>
    <w:rsid w:val="009B0149"/>
    <w:rsid w:val="009B0754"/>
    <w:rsid w:val="009B13BC"/>
    <w:rsid w:val="009B1A25"/>
    <w:rsid w:val="009B1B35"/>
    <w:rsid w:val="009B2252"/>
    <w:rsid w:val="009B230C"/>
    <w:rsid w:val="009B24EF"/>
    <w:rsid w:val="009B2B18"/>
    <w:rsid w:val="009B2DF9"/>
    <w:rsid w:val="009B381B"/>
    <w:rsid w:val="009B3B23"/>
    <w:rsid w:val="009B3F66"/>
    <w:rsid w:val="009B5474"/>
    <w:rsid w:val="009B5E27"/>
    <w:rsid w:val="009B64FD"/>
    <w:rsid w:val="009B65F2"/>
    <w:rsid w:val="009B694F"/>
    <w:rsid w:val="009B69EE"/>
    <w:rsid w:val="009B6F78"/>
    <w:rsid w:val="009B704E"/>
    <w:rsid w:val="009B7FC8"/>
    <w:rsid w:val="009C02A3"/>
    <w:rsid w:val="009C0F67"/>
    <w:rsid w:val="009C114E"/>
    <w:rsid w:val="009C14E5"/>
    <w:rsid w:val="009C1617"/>
    <w:rsid w:val="009C1733"/>
    <w:rsid w:val="009C1D16"/>
    <w:rsid w:val="009C1E81"/>
    <w:rsid w:val="009C25AD"/>
    <w:rsid w:val="009C26B6"/>
    <w:rsid w:val="009C2ED0"/>
    <w:rsid w:val="009C3EB6"/>
    <w:rsid w:val="009C43C6"/>
    <w:rsid w:val="009C45F3"/>
    <w:rsid w:val="009C49E5"/>
    <w:rsid w:val="009C5240"/>
    <w:rsid w:val="009C5687"/>
    <w:rsid w:val="009C56CE"/>
    <w:rsid w:val="009C57D3"/>
    <w:rsid w:val="009C5F6A"/>
    <w:rsid w:val="009C67C9"/>
    <w:rsid w:val="009C74D4"/>
    <w:rsid w:val="009C7D55"/>
    <w:rsid w:val="009D00E4"/>
    <w:rsid w:val="009D0A21"/>
    <w:rsid w:val="009D179D"/>
    <w:rsid w:val="009D1F37"/>
    <w:rsid w:val="009D2015"/>
    <w:rsid w:val="009D267E"/>
    <w:rsid w:val="009D30B4"/>
    <w:rsid w:val="009D32F5"/>
    <w:rsid w:val="009D36FD"/>
    <w:rsid w:val="009D37A3"/>
    <w:rsid w:val="009D3897"/>
    <w:rsid w:val="009D39C5"/>
    <w:rsid w:val="009D3B6C"/>
    <w:rsid w:val="009D61E9"/>
    <w:rsid w:val="009D6516"/>
    <w:rsid w:val="009D6BC7"/>
    <w:rsid w:val="009D6C13"/>
    <w:rsid w:val="009D6F2E"/>
    <w:rsid w:val="009E06E1"/>
    <w:rsid w:val="009E0D80"/>
    <w:rsid w:val="009E1C55"/>
    <w:rsid w:val="009E2F6C"/>
    <w:rsid w:val="009E2FE6"/>
    <w:rsid w:val="009E3361"/>
    <w:rsid w:val="009E34D5"/>
    <w:rsid w:val="009E39E4"/>
    <w:rsid w:val="009E40BD"/>
    <w:rsid w:val="009E442E"/>
    <w:rsid w:val="009E4559"/>
    <w:rsid w:val="009E468B"/>
    <w:rsid w:val="009E479F"/>
    <w:rsid w:val="009E50E9"/>
    <w:rsid w:val="009E5954"/>
    <w:rsid w:val="009E5A7B"/>
    <w:rsid w:val="009E5CB4"/>
    <w:rsid w:val="009E5D35"/>
    <w:rsid w:val="009E6B19"/>
    <w:rsid w:val="009E6B5D"/>
    <w:rsid w:val="009E6BB8"/>
    <w:rsid w:val="009E6D91"/>
    <w:rsid w:val="009E7717"/>
    <w:rsid w:val="009E7F58"/>
    <w:rsid w:val="009F0B6B"/>
    <w:rsid w:val="009F101F"/>
    <w:rsid w:val="009F206D"/>
    <w:rsid w:val="009F2146"/>
    <w:rsid w:val="009F2A8B"/>
    <w:rsid w:val="009F2F6E"/>
    <w:rsid w:val="009F35BD"/>
    <w:rsid w:val="009F3E0D"/>
    <w:rsid w:val="009F4A3D"/>
    <w:rsid w:val="009F4CB7"/>
    <w:rsid w:val="009F541F"/>
    <w:rsid w:val="009F56E1"/>
    <w:rsid w:val="009F716E"/>
    <w:rsid w:val="009F77A1"/>
    <w:rsid w:val="009F7A2A"/>
    <w:rsid w:val="00A011B4"/>
    <w:rsid w:val="00A0159F"/>
    <w:rsid w:val="00A01A64"/>
    <w:rsid w:val="00A023EB"/>
    <w:rsid w:val="00A02C57"/>
    <w:rsid w:val="00A0324E"/>
    <w:rsid w:val="00A03987"/>
    <w:rsid w:val="00A04681"/>
    <w:rsid w:val="00A048EC"/>
    <w:rsid w:val="00A04CD7"/>
    <w:rsid w:val="00A0578A"/>
    <w:rsid w:val="00A05908"/>
    <w:rsid w:val="00A05F33"/>
    <w:rsid w:val="00A064C2"/>
    <w:rsid w:val="00A065DD"/>
    <w:rsid w:val="00A06D88"/>
    <w:rsid w:val="00A073DB"/>
    <w:rsid w:val="00A073FC"/>
    <w:rsid w:val="00A07656"/>
    <w:rsid w:val="00A079AB"/>
    <w:rsid w:val="00A079E3"/>
    <w:rsid w:val="00A10587"/>
    <w:rsid w:val="00A10D09"/>
    <w:rsid w:val="00A11064"/>
    <w:rsid w:val="00A134FA"/>
    <w:rsid w:val="00A13890"/>
    <w:rsid w:val="00A13D70"/>
    <w:rsid w:val="00A14AFE"/>
    <w:rsid w:val="00A14DA2"/>
    <w:rsid w:val="00A15687"/>
    <w:rsid w:val="00A1659B"/>
    <w:rsid w:val="00A16E2E"/>
    <w:rsid w:val="00A17047"/>
    <w:rsid w:val="00A17FEE"/>
    <w:rsid w:val="00A2085D"/>
    <w:rsid w:val="00A2103D"/>
    <w:rsid w:val="00A2152F"/>
    <w:rsid w:val="00A223ED"/>
    <w:rsid w:val="00A22819"/>
    <w:rsid w:val="00A23516"/>
    <w:rsid w:val="00A23B25"/>
    <w:rsid w:val="00A23E75"/>
    <w:rsid w:val="00A24362"/>
    <w:rsid w:val="00A24510"/>
    <w:rsid w:val="00A25DBE"/>
    <w:rsid w:val="00A25EFB"/>
    <w:rsid w:val="00A26B14"/>
    <w:rsid w:val="00A26E72"/>
    <w:rsid w:val="00A26F66"/>
    <w:rsid w:val="00A271AD"/>
    <w:rsid w:val="00A2772D"/>
    <w:rsid w:val="00A27A30"/>
    <w:rsid w:val="00A27CB5"/>
    <w:rsid w:val="00A27F66"/>
    <w:rsid w:val="00A308C5"/>
    <w:rsid w:val="00A30A49"/>
    <w:rsid w:val="00A323EB"/>
    <w:rsid w:val="00A32D72"/>
    <w:rsid w:val="00A33D8D"/>
    <w:rsid w:val="00A33E4B"/>
    <w:rsid w:val="00A34C4B"/>
    <w:rsid w:val="00A34FEF"/>
    <w:rsid w:val="00A358FD"/>
    <w:rsid w:val="00A3594E"/>
    <w:rsid w:val="00A35D65"/>
    <w:rsid w:val="00A36852"/>
    <w:rsid w:val="00A36F72"/>
    <w:rsid w:val="00A40436"/>
    <w:rsid w:val="00A404E6"/>
    <w:rsid w:val="00A4091B"/>
    <w:rsid w:val="00A40A53"/>
    <w:rsid w:val="00A40C91"/>
    <w:rsid w:val="00A417BD"/>
    <w:rsid w:val="00A41835"/>
    <w:rsid w:val="00A42F2C"/>
    <w:rsid w:val="00A44036"/>
    <w:rsid w:val="00A44F03"/>
    <w:rsid w:val="00A4697B"/>
    <w:rsid w:val="00A46A2F"/>
    <w:rsid w:val="00A46F6A"/>
    <w:rsid w:val="00A47C05"/>
    <w:rsid w:val="00A5125F"/>
    <w:rsid w:val="00A5151F"/>
    <w:rsid w:val="00A53269"/>
    <w:rsid w:val="00A53394"/>
    <w:rsid w:val="00A53888"/>
    <w:rsid w:val="00A53D38"/>
    <w:rsid w:val="00A53D79"/>
    <w:rsid w:val="00A54782"/>
    <w:rsid w:val="00A54833"/>
    <w:rsid w:val="00A54D00"/>
    <w:rsid w:val="00A54FB7"/>
    <w:rsid w:val="00A5518B"/>
    <w:rsid w:val="00A551B8"/>
    <w:rsid w:val="00A562D3"/>
    <w:rsid w:val="00A56AD1"/>
    <w:rsid w:val="00A5730E"/>
    <w:rsid w:val="00A573D0"/>
    <w:rsid w:val="00A5786D"/>
    <w:rsid w:val="00A57D61"/>
    <w:rsid w:val="00A602CF"/>
    <w:rsid w:val="00A605D0"/>
    <w:rsid w:val="00A60851"/>
    <w:rsid w:val="00A608A2"/>
    <w:rsid w:val="00A60F32"/>
    <w:rsid w:val="00A61034"/>
    <w:rsid w:val="00A61101"/>
    <w:rsid w:val="00A62019"/>
    <w:rsid w:val="00A625F4"/>
    <w:rsid w:val="00A628E6"/>
    <w:rsid w:val="00A629E8"/>
    <w:rsid w:val="00A62B34"/>
    <w:rsid w:val="00A63254"/>
    <w:rsid w:val="00A634ED"/>
    <w:rsid w:val="00A6360A"/>
    <w:rsid w:val="00A641D7"/>
    <w:rsid w:val="00A64221"/>
    <w:rsid w:val="00A65B42"/>
    <w:rsid w:val="00A65C6D"/>
    <w:rsid w:val="00A6614A"/>
    <w:rsid w:val="00A66858"/>
    <w:rsid w:val="00A66972"/>
    <w:rsid w:val="00A67652"/>
    <w:rsid w:val="00A678B7"/>
    <w:rsid w:val="00A67AF3"/>
    <w:rsid w:val="00A67C49"/>
    <w:rsid w:val="00A70020"/>
    <w:rsid w:val="00A702C8"/>
    <w:rsid w:val="00A7034A"/>
    <w:rsid w:val="00A7059A"/>
    <w:rsid w:val="00A707F6"/>
    <w:rsid w:val="00A7093C"/>
    <w:rsid w:val="00A71276"/>
    <w:rsid w:val="00A71506"/>
    <w:rsid w:val="00A71D01"/>
    <w:rsid w:val="00A72836"/>
    <w:rsid w:val="00A7418C"/>
    <w:rsid w:val="00A74BFC"/>
    <w:rsid w:val="00A74D82"/>
    <w:rsid w:val="00A74E95"/>
    <w:rsid w:val="00A74F88"/>
    <w:rsid w:val="00A74FA4"/>
    <w:rsid w:val="00A75099"/>
    <w:rsid w:val="00A75165"/>
    <w:rsid w:val="00A751B5"/>
    <w:rsid w:val="00A75BEC"/>
    <w:rsid w:val="00A75C00"/>
    <w:rsid w:val="00A75F16"/>
    <w:rsid w:val="00A76262"/>
    <w:rsid w:val="00A765DF"/>
    <w:rsid w:val="00A76B77"/>
    <w:rsid w:val="00A76BBB"/>
    <w:rsid w:val="00A80D8D"/>
    <w:rsid w:val="00A81159"/>
    <w:rsid w:val="00A84701"/>
    <w:rsid w:val="00A849E2"/>
    <w:rsid w:val="00A853DE"/>
    <w:rsid w:val="00A85B55"/>
    <w:rsid w:val="00A8614B"/>
    <w:rsid w:val="00A86984"/>
    <w:rsid w:val="00A869F6"/>
    <w:rsid w:val="00A87BAA"/>
    <w:rsid w:val="00A90252"/>
    <w:rsid w:val="00A90F41"/>
    <w:rsid w:val="00A91348"/>
    <w:rsid w:val="00A913D7"/>
    <w:rsid w:val="00A91873"/>
    <w:rsid w:val="00A92E6A"/>
    <w:rsid w:val="00A944F5"/>
    <w:rsid w:val="00A94AB8"/>
    <w:rsid w:val="00A94BF0"/>
    <w:rsid w:val="00A94F3E"/>
    <w:rsid w:val="00A957D7"/>
    <w:rsid w:val="00A9631F"/>
    <w:rsid w:val="00A96A05"/>
    <w:rsid w:val="00A96A55"/>
    <w:rsid w:val="00A97075"/>
    <w:rsid w:val="00AA09B2"/>
    <w:rsid w:val="00AA0AD7"/>
    <w:rsid w:val="00AA16D8"/>
    <w:rsid w:val="00AA1F9E"/>
    <w:rsid w:val="00AA1FE2"/>
    <w:rsid w:val="00AA3989"/>
    <w:rsid w:val="00AA3FFD"/>
    <w:rsid w:val="00AA41E5"/>
    <w:rsid w:val="00AA4BA1"/>
    <w:rsid w:val="00AA53B9"/>
    <w:rsid w:val="00AA7E3C"/>
    <w:rsid w:val="00AA7EFB"/>
    <w:rsid w:val="00AB0CBC"/>
    <w:rsid w:val="00AB0E2E"/>
    <w:rsid w:val="00AB2B76"/>
    <w:rsid w:val="00AB2E03"/>
    <w:rsid w:val="00AB2E23"/>
    <w:rsid w:val="00AB32D3"/>
    <w:rsid w:val="00AB36D0"/>
    <w:rsid w:val="00AB3840"/>
    <w:rsid w:val="00AB3D3E"/>
    <w:rsid w:val="00AB3F78"/>
    <w:rsid w:val="00AB4A85"/>
    <w:rsid w:val="00AB4B63"/>
    <w:rsid w:val="00AB4DA8"/>
    <w:rsid w:val="00AB57A0"/>
    <w:rsid w:val="00AB714C"/>
    <w:rsid w:val="00AB73B2"/>
    <w:rsid w:val="00AB749B"/>
    <w:rsid w:val="00AB79D5"/>
    <w:rsid w:val="00AB7A28"/>
    <w:rsid w:val="00AB7B90"/>
    <w:rsid w:val="00AB7FD0"/>
    <w:rsid w:val="00AC13D8"/>
    <w:rsid w:val="00AC172A"/>
    <w:rsid w:val="00AC1FA3"/>
    <w:rsid w:val="00AC2911"/>
    <w:rsid w:val="00AC2E03"/>
    <w:rsid w:val="00AC2F67"/>
    <w:rsid w:val="00AC30B9"/>
    <w:rsid w:val="00AC311D"/>
    <w:rsid w:val="00AC362F"/>
    <w:rsid w:val="00AC37A3"/>
    <w:rsid w:val="00AC4F6F"/>
    <w:rsid w:val="00AC6372"/>
    <w:rsid w:val="00AC7AAD"/>
    <w:rsid w:val="00AC7B5D"/>
    <w:rsid w:val="00AC7C61"/>
    <w:rsid w:val="00AD0017"/>
    <w:rsid w:val="00AD09D8"/>
    <w:rsid w:val="00AD0E98"/>
    <w:rsid w:val="00AD1183"/>
    <w:rsid w:val="00AD1529"/>
    <w:rsid w:val="00AD191A"/>
    <w:rsid w:val="00AD1E77"/>
    <w:rsid w:val="00AD248B"/>
    <w:rsid w:val="00AD32C2"/>
    <w:rsid w:val="00AD32D8"/>
    <w:rsid w:val="00AD3A40"/>
    <w:rsid w:val="00AD449B"/>
    <w:rsid w:val="00AD5E7B"/>
    <w:rsid w:val="00AD63BA"/>
    <w:rsid w:val="00AD6C94"/>
    <w:rsid w:val="00AD6FFE"/>
    <w:rsid w:val="00AD7296"/>
    <w:rsid w:val="00AD7448"/>
    <w:rsid w:val="00AD76D8"/>
    <w:rsid w:val="00AD7F05"/>
    <w:rsid w:val="00AE06AE"/>
    <w:rsid w:val="00AE073C"/>
    <w:rsid w:val="00AE1855"/>
    <w:rsid w:val="00AE1F46"/>
    <w:rsid w:val="00AE20CE"/>
    <w:rsid w:val="00AE21F5"/>
    <w:rsid w:val="00AE226A"/>
    <w:rsid w:val="00AE3C8E"/>
    <w:rsid w:val="00AE46C4"/>
    <w:rsid w:val="00AE5518"/>
    <w:rsid w:val="00AE58F9"/>
    <w:rsid w:val="00AE5DA7"/>
    <w:rsid w:val="00AE5F00"/>
    <w:rsid w:val="00AE64C7"/>
    <w:rsid w:val="00AE655B"/>
    <w:rsid w:val="00AE65C9"/>
    <w:rsid w:val="00AE6FA9"/>
    <w:rsid w:val="00AE7164"/>
    <w:rsid w:val="00AE7341"/>
    <w:rsid w:val="00AE739E"/>
    <w:rsid w:val="00AE7F89"/>
    <w:rsid w:val="00AF10D3"/>
    <w:rsid w:val="00AF1F6D"/>
    <w:rsid w:val="00AF28FF"/>
    <w:rsid w:val="00AF2927"/>
    <w:rsid w:val="00AF2A4B"/>
    <w:rsid w:val="00AF2A79"/>
    <w:rsid w:val="00AF3913"/>
    <w:rsid w:val="00AF476D"/>
    <w:rsid w:val="00AF4941"/>
    <w:rsid w:val="00AF5146"/>
    <w:rsid w:val="00AF55A8"/>
    <w:rsid w:val="00AF5A2B"/>
    <w:rsid w:val="00AF6575"/>
    <w:rsid w:val="00AF668A"/>
    <w:rsid w:val="00AF6F90"/>
    <w:rsid w:val="00AF7E54"/>
    <w:rsid w:val="00B009DB"/>
    <w:rsid w:val="00B00A8D"/>
    <w:rsid w:val="00B01936"/>
    <w:rsid w:val="00B01D4D"/>
    <w:rsid w:val="00B01DBD"/>
    <w:rsid w:val="00B021C6"/>
    <w:rsid w:val="00B02AA5"/>
    <w:rsid w:val="00B02B2B"/>
    <w:rsid w:val="00B034D6"/>
    <w:rsid w:val="00B035D3"/>
    <w:rsid w:val="00B03619"/>
    <w:rsid w:val="00B039BD"/>
    <w:rsid w:val="00B03AD9"/>
    <w:rsid w:val="00B0476C"/>
    <w:rsid w:val="00B054CE"/>
    <w:rsid w:val="00B062A0"/>
    <w:rsid w:val="00B06445"/>
    <w:rsid w:val="00B07845"/>
    <w:rsid w:val="00B07A8D"/>
    <w:rsid w:val="00B07E1B"/>
    <w:rsid w:val="00B10796"/>
    <w:rsid w:val="00B10901"/>
    <w:rsid w:val="00B10C97"/>
    <w:rsid w:val="00B115A6"/>
    <w:rsid w:val="00B11813"/>
    <w:rsid w:val="00B11D74"/>
    <w:rsid w:val="00B11E07"/>
    <w:rsid w:val="00B12479"/>
    <w:rsid w:val="00B125FC"/>
    <w:rsid w:val="00B12B2D"/>
    <w:rsid w:val="00B132AB"/>
    <w:rsid w:val="00B1366A"/>
    <w:rsid w:val="00B1375A"/>
    <w:rsid w:val="00B13AD4"/>
    <w:rsid w:val="00B13FDF"/>
    <w:rsid w:val="00B14030"/>
    <w:rsid w:val="00B140AE"/>
    <w:rsid w:val="00B142F9"/>
    <w:rsid w:val="00B153B6"/>
    <w:rsid w:val="00B16966"/>
    <w:rsid w:val="00B16D64"/>
    <w:rsid w:val="00B16D73"/>
    <w:rsid w:val="00B17647"/>
    <w:rsid w:val="00B17932"/>
    <w:rsid w:val="00B17E98"/>
    <w:rsid w:val="00B17FC6"/>
    <w:rsid w:val="00B201D3"/>
    <w:rsid w:val="00B204AD"/>
    <w:rsid w:val="00B20642"/>
    <w:rsid w:val="00B2211A"/>
    <w:rsid w:val="00B227D2"/>
    <w:rsid w:val="00B22E60"/>
    <w:rsid w:val="00B2320D"/>
    <w:rsid w:val="00B242EA"/>
    <w:rsid w:val="00B2431D"/>
    <w:rsid w:val="00B2570A"/>
    <w:rsid w:val="00B25951"/>
    <w:rsid w:val="00B26D88"/>
    <w:rsid w:val="00B27997"/>
    <w:rsid w:val="00B30047"/>
    <w:rsid w:val="00B30823"/>
    <w:rsid w:val="00B30EBF"/>
    <w:rsid w:val="00B31118"/>
    <w:rsid w:val="00B3115A"/>
    <w:rsid w:val="00B319A2"/>
    <w:rsid w:val="00B31BDB"/>
    <w:rsid w:val="00B31FC8"/>
    <w:rsid w:val="00B31FDC"/>
    <w:rsid w:val="00B3201D"/>
    <w:rsid w:val="00B32222"/>
    <w:rsid w:val="00B32A50"/>
    <w:rsid w:val="00B32B27"/>
    <w:rsid w:val="00B32B4C"/>
    <w:rsid w:val="00B32D7D"/>
    <w:rsid w:val="00B33728"/>
    <w:rsid w:val="00B339EF"/>
    <w:rsid w:val="00B33DB0"/>
    <w:rsid w:val="00B33DF4"/>
    <w:rsid w:val="00B33E06"/>
    <w:rsid w:val="00B33EC4"/>
    <w:rsid w:val="00B34B0C"/>
    <w:rsid w:val="00B35058"/>
    <w:rsid w:val="00B354DD"/>
    <w:rsid w:val="00B36042"/>
    <w:rsid w:val="00B367C3"/>
    <w:rsid w:val="00B36DEA"/>
    <w:rsid w:val="00B36DF6"/>
    <w:rsid w:val="00B37135"/>
    <w:rsid w:val="00B37625"/>
    <w:rsid w:val="00B40288"/>
    <w:rsid w:val="00B40B22"/>
    <w:rsid w:val="00B413F4"/>
    <w:rsid w:val="00B41CB1"/>
    <w:rsid w:val="00B4287E"/>
    <w:rsid w:val="00B42B7B"/>
    <w:rsid w:val="00B4316E"/>
    <w:rsid w:val="00B434BB"/>
    <w:rsid w:val="00B43531"/>
    <w:rsid w:val="00B438D0"/>
    <w:rsid w:val="00B439E7"/>
    <w:rsid w:val="00B43BA5"/>
    <w:rsid w:val="00B43FAA"/>
    <w:rsid w:val="00B44CF2"/>
    <w:rsid w:val="00B4507E"/>
    <w:rsid w:val="00B457DD"/>
    <w:rsid w:val="00B46911"/>
    <w:rsid w:val="00B46970"/>
    <w:rsid w:val="00B47A8A"/>
    <w:rsid w:val="00B50489"/>
    <w:rsid w:val="00B5111D"/>
    <w:rsid w:val="00B5265E"/>
    <w:rsid w:val="00B52C89"/>
    <w:rsid w:val="00B5350D"/>
    <w:rsid w:val="00B54249"/>
    <w:rsid w:val="00B54503"/>
    <w:rsid w:val="00B547ED"/>
    <w:rsid w:val="00B557FA"/>
    <w:rsid w:val="00B55B44"/>
    <w:rsid w:val="00B55CFB"/>
    <w:rsid w:val="00B55F1E"/>
    <w:rsid w:val="00B5690D"/>
    <w:rsid w:val="00B57A8B"/>
    <w:rsid w:val="00B57D5C"/>
    <w:rsid w:val="00B619A8"/>
    <w:rsid w:val="00B61D7C"/>
    <w:rsid w:val="00B62096"/>
    <w:rsid w:val="00B62213"/>
    <w:rsid w:val="00B623E8"/>
    <w:rsid w:val="00B62CCB"/>
    <w:rsid w:val="00B63308"/>
    <w:rsid w:val="00B63E0E"/>
    <w:rsid w:val="00B640BA"/>
    <w:rsid w:val="00B64542"/>
    <w:rsid w:val="00B64CEA"/>
    <w:rsid w:val="00B64D2A"/>
    <w:rsid w:val="00B65221"/>
    <w:rsid w:val="00B65646"/>
    <w:rsid w:val="00B674DA"/>
    <w:rsid w:val="00B67E1E"/>
    <w:rsid w:val="00B70AE7"/>
    <w:rsid w:val="00B70ECC"/>
    <w:rsid w:val="00B70F7F"/>
    <w:rsid w:val="00B71089"/>
    <w:rsid w:val="00B7119A"/>
    <w:rsid w:val="00B71264"/>
    <w:rsid w:val="00B71E31"/>
    <w:rsid w:val="00B7249B"/>
    <w:rsid w:val="00B72C15"/>
    <w:rsid w:val="00B732CC"/>
    <w:rsid w:val="00B73861"/>
    <w:rsid w:val="00B73BA4"/>
    <w:rsid w:val="00B73D42"/>
    <w:rsid w:val="00B73FF3"/>
    <w:rsid w:val="00B75CE8"/>
    <w:rsid w:val="00B7634D"/>
    <w:rsid w:val="00B765C3"/>
    <w:rsid w:val="00B76C4D"/>
    <w:rsid w:val="00B805EE"/>
    <w:rsid w:val="00B80830"/>
    <w:rsid w:val="00B80964"/>
    <w:rsid w:val="00B811E3"/>
    <w:rsid w:val="00B819BD"/>
    <w:rsid w:val="00B81C38"/>
    <w:rsid w:val="00B829E7"/>
    <w:rsid w:val="00B83182"/>
    <w:rsid w:val="00B8386C"/>
    <w:rsid w:val="00B84019"/>
    <w:rsid w:val="00B841E3"/>
    <w:rsid w:val="00B849C4"/>
    <w:rsid w:val="00B85134"/>
    <w:rsid w:val="00B85378"/>
    <w:rsid w:val="00B855B5"/>
    <w:rsid w:val="00B86085"/>
    <w:rsid w:val="00B864C7"/>
    <w:rsid w:val="00B864EB"/>
    <w:rsid w:val="00B865EC"/>
    <w:rsid w:val="00B86833"/>
    <w:rsid w:val="00B86B4B"/>
    <w:rsid w:val="00B90113"/>
    <w:rsid w:val="00B90450"/>
    <w:rsid w:val="00B90C2C"/>
    <w:rsid w:val="00B91378"/>
    <w:rsid w:val="00B91C3A"/>
    <w:rsid w:val="00B92081"/>
    <w:rsid w:val="00B927BE"/>
    <w:rsid w:val="00B9319E"/>
    <w:rsid w:val="00B93829"/>
    <w:rsid w:val="00B93A4F"/>
    <w:rsid w:val="00B93BE8"/>
    <w:rsid w:val="00B948B5"/>
    <w:rsid w:val="00B94A68"/>
    <w:rsid w:val="00B94ADA"/>
    <w:rsid w:val="00B94D6D"/>
    <w:rsid w:val="00B9501E"/>
    <w:rsid w:val="00B95F75"/>
    <w:rsid w:val="00B967AF"/>
    <w:rsid w:val="00B96C2E"/>
    <w:rsid w:val="00B96EA2"/>
    <w:rsid w:val="00B97051"/>
    <w:rsid w:val="00B97708"/>
    <w:rsid w:val="00B97B5A"/>
    <w:rsid w:val="00BA0200"/>
    <w:rsid w:val="00BA0782"/>
    <w:rsid w:val="00BA0FC9"/>
    <w:rsid w:val="00BA141D"/>
    <w:rsid w:val="00BA1A3C"/>
    <w:rsid w:val="00BA1BD2"/>
    <w:rsid w:val="00BA1D4F"/>
    <w:rsid w:val="00BA2912"/>
    <w:rsid w:val="00BA35F6"/>
    <w:rsid w:val="00BA3843"/>
    <w:rsid w:val="00BA38C2"/>
    <w:rsid w:val="00BA39ED"/>
    <w:rsid w:val="00BA469F"/>
    <w:rsid w:val="00BA4F8C"/>
    <w:rsid w:val="00BA5695"/>
    <w:rsid w:val="00BA5B77"/>
    <w:rsid w:val="00BA5EF8"/>
    <w:rsid w:val="00BA6937"/>
    <w:rsid w:val="00BA721C"/>
    <w:rsid w:val="00BA7A21"/>
    <w:rsid w:val="00BA7ACC"/>
    <w:rsid w:val="00BA7E23"/>
    <w:rsid w:val="00BA7EF8"/>
    <w:rsid w:val="00BB0541"/>
    <w:rsid w:val="00BB0876"/>
    <w:rsid w:val="00BB241C"/>
    <w:rsid w:val="00BB2CB7"/>
    <w:rsid w:val="00BB2E6C"/>
    <w:rsid w:val="00BB5116"/>
    <w:rsid w:val="00BB5624"/>
    <w:rsid w:val="00BB5E6E"/>
    <w:rsid w:val="00BB63B8"/>
    <w:rsid w:val="00BB6B84"/>
    <w:rsid w:val="00BC0453"/>
    <w:rsid w:val="00BC0659"/>
    <w:rsid w:val="00BC0AE7"/>
    <w:rsid w:val="00BC4DA8"/>
    <w:rsid w:val="00BC4DBF"/>
    <w:rsid w:val="00BC4FB0"/>
    <w:rsid w:val="00BC5709"/>
    <w:rsid w:val="00BC58AD"/>
    <w:rsid w:val="00BC6628"/>
    <w:rsid w:val="00BC66AA"/>
    <w:rsid w:val="00BC72C4"/>
    <w:rsid w:val="00BC7621"/>
    <w:rsid w:val="00BC766E"/>
    <w:rsid w:val="00BC7BE3"/>
    <w:rsid w:val="00BD10D3"/>
    <w:rsid w:val="00BD2E5F"/>
    <w:rsid w:val="00BD35FF"/>
    <w:rsid w:val="00BD3F77"/>
    <w:rsid w:val="00BD41DF"/>
    <w:rsid w:val="00BD4484"/>
    <w:rsid w:val="00BD47E2"/>
    <w:rsid w:val="00BD4EF1"/>
    <w:rsid w:val="00BD58A7"/>
    <w:rsid w:val="00BD6266"/>
    <w:rsid w:val="00BD62AA"/>
    <w:rsid w:val="00BD65F7"/>
    <w:rsid w:val="00BD7757"/>
    <w:rsid w:val="00BE0373"/>
    <w:rsid w:val="00BE168C"/>
    <w:rsid w:val="00BE1DDF"/>
    <w:rsid w:val="00BE1F87"/>
    <w:rsid w:val="00BE2506"/>
    <w:rsid w:val="00BE2AB7"/>
    <w:rsid w:val="00BE2C41"/>
    <w:rsid w:val="00BE2ED6"/>
    <w:rsid w:val="00BE4AC2"/>
    <w:rsid w:val="00BE542D"/>
    <w:rsid w:val="00BE553C"/>
    <w:rsid w:val="00BE6123"/>
    <w:rsid w:val="00BE6792"/>
    <w:rsid w:val="00BE6D8D"/>
    <w:rsid w:val="00BE71E1"/>
    <w:rsid w:val="00BF0CD8"/>
    <w:rsid w:val="00BF0E95"/>
    <w:rsid w:val="00BF11D9"/>
    <w:rsid w:val="00BF160E"/>
    <w:rsid w:val="00BF2A9E"/>
    <w:rsid w:val="00BF2AB1"/>
    <w:rsid w:val="00BF35AE"/>
    <w:rsid w:val="00BF38BF"/>
    <w:rsid w:val="00BF3ADC"/>
    <w:rsid w:val="00BF4C76"/>
    <w:rsid w:val="00BF644A"/>
    <w:rsid w:val="00BF69D9"/>
    <w:rsid w:val="00BF6B3B"/>
    <w:rsid w:val="00BF6BA9"/>
    <w:rsid w:val="00BF6C7C"/>
    <w:rsid w:val="00BF6E8D"/>
    <w:rsid w:val="00BF7AD2"/>
    <w:rsid w:val="00C00532"/>
    <w:rsid w:val="00C01B12"/>
    <w:rsid w:val="00C02278"/>
    <w:rsid w:val="00C02840"/>
    <w:rsid w:val="00C0346C"/>
    <w:rsid w:val="00C043C6"/>
    <w:rsid w:val="00C04ED6"/>
    <w:rsid w:val="00C0506F"/>
    <w:rsid w:val="00C0553C"/>
    <w:rsid w:val="00C0578A"/>
    <w:rsid w:val="00C05F63"/>
    <w:rsid w:val="00C06041"/>
    <w:rsid w:val="00C07504"/>
    <w:rsid w:val="00C07795"/>
    <w:rsid w:val="00C1001F"/>
    <w:rsid w:val="00C109B4"/>
    <w:rsid w:val="00C10ED5"/>
    <w:rsid w:val="00C11188"/>
    <w:rsid w:val="00C1131D"/>
    <w:rsid w:val="00C11E55"/>
    <w:rsid w:val="00C11E62"/>
    <w:rsid w:val="00C12665"/>
    <w:rsid w:val="00C12C9C"/>
    <w:rsid w:val="00C136B0"/>
    <w:rsid w:val="00C13F91"/>
    <w:rsid w:val="00C13FD3"/>
    <w:rsid w:val="00C1476A"/>
    <w:rsid w:val="00C1487A"/>
    <w:rsid w:val="00C1488C"/>
    <w:rsid w:val="00C148D0"/>
    <w:rsid w:val="00C14C8B"/>
    <w:rsid w:val="00C154A1"/>
    <w:rsid w:val="00C15B38"/>
    <w:rsid w:val="00C168A3"/>
    <w:rsid w:val="00C16DE3"/>
    <w:rsid w:val="00C1741F"/>
    <w:rsid w:val="00C1752D"/>
    <w:rsid w:val="00C17B7E"/>
    <w:rsid w:val="00C20311"/>
    <w:rsid w:val="00C2051A"/>
    <w:rsid w:val="00C2093D"/>
    <w:rsid w:val="00C20ACC"/>
    <w:rsid w:val="00C228D4"/>
    <w:rsid w:val="00C2294B"/>
    <w:rsid w:val="00C232DD"/>
    <w:rsid w:val="00C234C1"/>
    <w:rsid w:val="00C237B1"/>
    <w:rsid w:val="00C23DBF"/>
    <w:rsid w:val="00C2454E"/>
    <w:rsid w:val="00C249E2"/>
    <w:rsid w:val="00C24C6D"/>
    <w:rsid w:val="00C25602"/>
    <w:rsid w:val="00C25A93"/>
    <w:rsid w:val="00C25B6D"/>
    <w:rsid w:val="00C25D28"/>
    <w:rsid w:val="00C25DFD"/>
    <w:rsid w:val="00C25E79"/>
    <w:rsid w:val="00C26B67"/>
    <w:rsid w:val="00C2721E"/>
    <w:rsid w:val="00C275A7"/>
    <w:rsid w:val="00C27DBA"/>
    <w:rsid w:val="00C301B9"/>
    <w:rsid w:val="00C30A6F"/>
    <w:rsid w:val="00C30A8E"/>
    <w:rsid w:val="00C32C32"/>
    <w:rsid w:val="00C330E4"/>
    <w:rsid w:val="00C332C5"/>
    <w:rsid w:val="00C34714"/>
    <w:rsid w:val="00C3678C"/>
    <w:rsid w:val="00C369E8"/>
    <w:rsid w:val="00C40240"/>
    <w:rsid w:val="00C40C06"/>
    <w:rsid w:val="00C40DC7"/>
    <w:rsid w:val="00C41F53"/>
    <w:rsid w:val="00C42023"/>
    <w:rsid w:val="00C421C2"/>
    <w:rsid w:val="00C42A1D"/>
    <w:rsid w:val="00C4315E"/>
    <w:rsid w:val="00C43284"/>
    <w:rsid w:val="00C43565"/>
    <w:rsid w:val="00C445A2"/>
    <w:rsid w:val="00C45C88"/>
    <w:rsid w:val="00C46C97"/>
    <w:rsid w:val="00C4702F"/>
    <w:rsid w:val="00C4710A"/>
    <w:rsid w:val="00C4781D"/>
    <w:rsid w:val="00C47C10"/>
    <w:rsid w:val="00C47CD8"/>
    <w:rsid w:val="00C47D94"/>
    <w:rsid w:val="00C47F13"/>
    <w:rsid w:val="00C5028A"/>
    <w:rsid w:val="00C50343"/>
    <w:rsid w:val="00C50F0D"/>
    <w:rsid w:val="00C51372"/>
    <w:rsid w:val="00C51720"/>
    <w:rsid w:val="00C518CB"/>
    <w:rsid w:val="00C529E2"/>
    <w:rsid w:val="00C532F7"/>
    <w:rsid w:val="00C539A3"/>
    <w:rsid w:val="00C547C5"/>
    <w:rsid w:val="00C547DD"/>
    <w:rsid w:val="00C548C6"/>
    <w:rsid w:val="00C54AC1"/>
    <w:rsid w:val="00C56372"/>
    <w:rsid w:val="00C570E9"/>
    <w:rsid w:val="00C57252"/>
    <w:rsid w:val="00C574ED"/>
    <w:rsid w:val="00C60123"/>
    <w:rsid w:val="00C61506"/>
    <w:rsid w:val="00C61740"/>
    <w:rsid w:val="00C61773"/>
    <w:rsid w:val="00C62970"/>
    <w:rsid w:val="00C63317"/>
    <w:rsid w:val="00C63542"/>
    <w:rsid w:val="00C63A53"/>
    <w:rsid w:val="00C63CC1"/>
    <w:rsid w:val="00C63FAD"/>
    <w:rsid w:val="00C64080"/>
    <w:rsid w:val="00C641FD"/>
    <w:rsid w:val="00C643C8"/>
    <w:rsid w:val="00C650D2"/>
    <w:rsid w:val="00C65213"/>
    <w:rsid w:val="00C6591A"/>
    <w:rsid w:val="00C6651F"/>
    <w:rsid w:val="00C66803"/>
    <w:rsid w:val="00C668E4"/>
    <w:rsid w:val="00C66F9C"/>
    <w:rsid w:val="00C67E07"/>
    <w:rsid w:val="00C67FFB"/>
    <w:rsid w:val="00C7071E"/>
    <w:rsid w:val="00C707C3"/>
    <w:rsid w:val="00C7088F"/>
    <w:rsid w:val="00C70AA2"/>
    <w:rsid w:val="00C71432"/>
    <w:rsid w:val="00C71448"/>
    <w:rsid w:val="00C730A8"/>
    <w:rsid w:val="00C73287"/>
    <w:rsid w:val="00C74B99"/>
    <w:rsid w:val="00C74C1B"/>
    <w:rsid w:val="00C75030"/>
    <w:rsid w:val="00C75323"/>
    <w:rsid w:val="00C75418"/>
    <w:rsid w:val="00C76696"/>
    <w:rsid w:val="00C76E61"/>
    <w:rsid w:val="00C76F35"/>
    <w:rsid w:val="00C7701A"/>
    <w:rsid w:val="00C77FC4"/>
    <w:rsid w:val="00C77FD2"/>
    <w:rsid w:val="00C80603"/>
    <w:rsid w:val="00C81343"/>
    <w:rsid w:val="00C81392"/>
    <w:rsid w:val="00C81DD4"/>
    <w:rsid w:val="00C821AD"/>
    <w:rsid w:val="00C8259F"/>
    <w:rsid w:val="00C83023"/>
    <w:rsid w:val="00C839B3"/>
    <w:rsid w:val="00C84CD5"/>
    <w:rsid w:val="00C85EBA"/>
    <w:rsid w:val="00C85FFF"/>
    <w:rsid w:val="00C86DF7"/>
    <w:rsid w:val="00C86EC0"/>
    <w:rsid w:val="00C8724D"/>
    <w:rsid w:val="00C8788A"/>
    <w:rsid w:val="00C878B2"/>
    <w:rsid w:val="00C87C13"/>
    <w:rsid w:val="00C911BB"/>
    <w:rsid w:val="00C91F1C"/>
    <w:rsid w:val="00C92076"/>
    <w:rsid w:val="00C93A47"/>
    <w:rsid w:val="00C93FF5"/>
    <w:rsid w:val="00C9428E"/>
    <w:rsid w:val="00C94C49"/>
    <w:rsid w:val="00C94EDD"/>
    <w:rsid w:val="00C951CC"/>
    <w:rsid w:val="00C9521F"/>
    <w:rsid w:val="00C95B21"/>
    <w:rsid w:val="00C95D71"/>
    <w:rsid w:val="00C95EC0"/>
    <w:rsid w:val="00C9622E"/>
    <w:rsid w:val="00C964E1"/>
    <w:rsid w:val="00C97FBC"/>
    <w:rsid w:val="00CA0F3A"/>
    <w:rsid w:val="00CA0FB0"/>
    <w:rsid w:val="00CA1D60"/>
    <w:rsid w:val="00CA27BA"/>
    <w:rsid w:val="00CA2D3C"/>
    <w:rsid w:val="00CA44AA"/>
    <w:rsid w:val="00CA4992"/>
    <w:rsid w:val="00CA4B13"/>
    <w:rsid w:val="00CA522F"/>
    <w:rsid w:val="00CA5BD8"/>
    <w:rsid w:val="00CA5D36"/>
    <w:rsid w:val="00CA66FD"/>
    <w:rsid w:val="00CA6846"/>
    <w:rsid w:val="00CB0332"/>
    <w:rsid w:val="00CB0A32"/>
    <w:rsid w:val="00CB1249"/>
    <w:rsid w:val="00CB1AA7"/>
    <w:rsid w:val="00CB238F"/>
    <w:rsid w:val="00CB2D69"/>
    <w:rsid w:val="00CB395F"/>
    <w:rsid w:val="00CB425A"/>
    <w:rsid w:val="00CB4B1B"/>
    <w:rsid w:val="00CB508F"/>
    <w:rsid w:val="00CB542A"/>
    <w:rsid w:val="00CB59F4"/>
    <w:rsid w:val="00CB5ED8"/>
    <w:rsid w:val="00CB5FE5"/>
    <w:rsid w:val="00CB6E16"/>
    <w:rsid w:val="00CB6ED8"/>
    <w:rsid w:val="00CB7D1A"/>
    <w:rsid w:val="00CC039D"/>
    <w:rsid w:val="00CC0D37"/>
    <w:rsid w:val="00CC1118"/>
    <w:rsid w:val="00CC296B"/>
    <w:rsid w:val="00CC2D06"/>
    <w:rsid w:val="00CC435D"/>
    <w:rsid w:val="00CC4E62"/>
    <w:rsid w:val="00CC614C"/>
    <w:rsid w:val="00CC6452"/>
    <w:rsid w:val="00CC6D5C"/>
    <w:rsid w:val="00CC76EF"/>
    <w:rsid w:val="00CC7B8C"/>
    <w:rsid w:val="00CC7BE0"/>
    <w:rsid w:val="00CC7F94"/>
    <w:rsid w:val="00CD0303"/>
    <w:rsid w:val="00CD040F"/>
    <w:rsid w:val="00CD147B"/>
    <w:rsid w:val="00CD1D97"/>
    <w:rsid w:val="00CD2238"/>
    <w:rsid w:val="00CD3010"/>
    <w:rsid w:val="00CD3623"/>
    <w:rsid w:val="00CD3712"/>
    <w:rsid w:val="00CD403B"/>
    <w:rsid w:val="00CD4854"/>
    <w:rsid w:val="00CD515E"/>
    <w:rsid w:val="00CD53A3"/>
    <w:rsid w:val="00CD54FD"/>
    <w:rsid w:val="00CD596F"/>
    <w:rsid w:val="00CD5E80"/>
    <w:rsid w:val="00CD637E"/>
    <w:rsid w:val="00CD6769"/>
    <w:rsid w:val="00CD7982"/>
    <w:rsid w:val="00CD7A66"/>
    <w:rsid w:val="00CD7E1C"/>
    <w:rsid w:val="00CE03D1"/>
    <w:rsid w:val="00CE0593"/>
    <w:rsid w:val="00CE13A7"/>
    <w:rsid w:val="00CE15A1"/>
    <w:rsid w:val="00CE1789"/>
    <w:rsid w:val="00CE2618"/>
    <w:rsid w:val="00CE31B0"/>
    <w:rsid w:val="00CE3591"/>
    <w:rsid w:val="00CE3598"/>
    <w:rsid w:val="00CE36EC"/>
    <w:rsid w:val="00CE37E2"/>
    <w:rsid w:val="00CE387A"/>
    <w:rsid w:val="00CE3A87"/>
    <w:rsid w:val="00CE3BA6"/>
    <w:rsid w:val="00CE3CD8"/>
    <w:rsid w:val="00CE4D6C"/>
    <w:rsid w:val="00CE5BE7"/>
    <w:rsid w:val="00CE5CA2"/>
    <w:rsid w:val="00CE6382"/>
    <w:rsid w:val="00CE646C"/>
    <w:rsid w:val="00CE6735"/>
    <w:rsid w:val="00CE7363"/>
    <w:rsid w:val="00CE7D3C"/>
    <w:rsid w:val="00CF0A8E"/>
    <w:rsid w:val="00CF24E0"/>
    <w:rsid w:val="00CF24E3"/>
    <w:rsid w:val="00CF2BD2"/>
    <w:rsid w:val="00CF31C8"/>
    <w:rsid w:val="00CF3220"/>
    <w:rsid w:val="00CF3BC0"/>
    <w:rsid w:val="00CF4637"/>
    <w:rsid w:val="00CF496E"/>
    <w:rsid w:val="00CF4B13"/>
    <w:rsid w:val="00CF57E2"/>
    <w:rsid w:val="00CF5828"/>
    <w:rsid w:val="00CF5A01"/>
    <w:rsid w:val="00CF6744"/>
    <w:rsid w:val="00CF6A30"/>
    <w:rsid w:val="00D008D7"/>
    <w:rsid w:val="00D00A0E"/>
    <w:rsid w:val="00D00BC6"/>
    <w:rsid w:val="00D0168D"/>
    <w:rsid w:val="00D01C2E"/>
    <w:rsid w:val="00D0467E"/>
    <w:rsid w:val="00D04C8D"/>
    <w:rsid w:val="00D05489"/>
    <w:rsid w:val="00D054A4"/>
    <w:rsid w:val="00D06959"/>
    <w:rsid w:val="00D06C7F"/>
    <w:rsid w:val="00D073E1"/>
    <w:rsid w:val="00D07431"/>
    <w:rsid w:val="00D07972"/>
    <w:rsid w:val="00D108EC"/>
    <w:rsid w:val="00D12441"/>
    <w:rsid w:val="00D1278F"/>
    <w:rsid w:val="00D13267"/>
    <w:rsid w:val="00D132DA"/>
    <w:rsid w:val="00D13AF4"/>
    <w:rsid w:val="00D1480D"/>
    <w:rsid w:val="00D14AC3"/>
    <w:rsid w:val="00D14BAA"/>
    <w:rsid w:val="00D14C3E"/>
    <w:rsid w:val="00D14F65"/>
    <w:rsid w:val="00D1547C"/>
    <w:rsid w:val="00D1631D"/>
    <w:rsid w:val="00D1646F"/>
    <w:rsid w:val="00D165F2"/>
    <w:rsid w:val="00D16971"/>
    <w:rsid w:val="00D16BA6"/>
    <w:rsid w:val="00D16FE6"/>
    <w:rsid w:val="00D17035"/>
    <w:rsid w:val="00D1742E"/>
    <w:rsid w:val="00D17740"/>
    <w:rsid w:val="00D17A1C"/>
    <w:rsid w:val="00D208C9"/>
    <w:rsid w:val="00D21F23"/>
    <w:rsid w:val="00D221DD"/>
    <w:rsid w:val="00D22238"/>
    <w:rsid w:val="00D22E52"/>
    <w:rsid w:val="00D237A0"/>
    <w:rsid w:val="00D23B14"/>
    <w:rsid w:val="00D24461"/>
    <w:rsid w:val="00D24F9C"/>
    <w:rsid w:val="00D25156"/>
    <w:rsid w:val="00D261D0"/>
    <w:rsid w:val="00D267C6"/>
    <w:rsid w:val="00D26E69"/>
    <w:rsid w:val="00D27F4E"/>
    <w:rsid w:val="00D3011A"/>
    <w:rsid w:val="00D30190"/>
    <w:rsid w:val="00D302C9"/>
    <w:rsid w:val="00D30E10"/>
    <w:rsid w:val="00D315A5"/>
    <w:rsid w:val="00D3165A"/>
    <w:rsid w:val="00D31984"/>
    <w:rsid w:val="00D31A02"/>
    <w:rsid w:val="00D31A20"/>
    <w:rsid w:val="00D31CE5"/>
    <w:rsid w:val="00D32313"/>
    <w:rsid w:val="00D32854"/>
    <w:rsid w:val="00D33CD7"/>
    <w:rsid w:val="00D33F2E"/>
    <w:rsid w:val="00D344EB"/>
    <w:rsid w:val="00D345AD"/>
    <w:rsid w:val="00D34BC1"/>
    <w:rsid w:val="00D34FEA"/>
    <w:rsid w:val="00D3554F"/>
    <w:rsid w:val="00D355FF"/>
    <w:rsid w:val="00D35CA6"/>
    <w:rsid w:val="00D36149"/>
    <w:rsid w:val="00D366EE"/>
    <w:rsid w:val="00D37359"/>
    <w:rsid w:val="00D37B38"/>
    <w:rsid w:val="00D401B5"/>
    <w:rsid w:val="00D4061D"/>
    <w:rsid w:val="00D4171A"/>
    <w:rsid w:val="00D41F5A"/>
    <w:rsid w:val="00D42383"/>
    <w:rsid w:val="00D423E1"/>
    <w:rsid w:val="00D4275C"/>
    <w:rsid w:val="00D42919"/>
    <w:rsid w:val="00D43540"/>
    <w:rsid w:val="00D447A9"/>
    <w:rsid w:val="00D45306"/>
    <w:rsid w:val="00D456FD"/>
    <w:rsid w:val="00D45AA4"/>
    <w:rsid w:val="00D45FBE"/>
    <w:rsid w:val="00D4632D"/>
    <w:rsid w:val="00D4635E"/>
    <w:rsid w:val="00D465EF"/>
    <w:rsid w:val="00D469FB"/>
    <w:rsid w:val="00D46D37"/>
    <w:rsid w:val="00D46FE4"/>
    <w:rsid w:val="00D47022"/>
    <w:rsid w:val="00D476B0"/>
    <w:rsid w:val="00D47C60"/>
    <w:rsid w:val="00D47F7F"/>
    <w:rsid w:val="00D50980"/>
    <w:rsid w:val="00D50F89"/>
    <w:rsid w:val="00D5114C"/>
    <w:rsid w:val="00D523DA"/>
    <w:rsid w:val="00D52672"/>
    <w:rsid w:val="00D52CEE"/>
    <w:rsid w:val="00D5335D"/>
    <w:rsid w:val="00D535ED"/>
    <w:rsid w:val="00D53B36"/>
    <w:rsid w:val="00D53E89"/>
    <w:rsid w:val="00D549B1"/>
    <w:rsid w:val="00D54A3A"/>
    <w:rsid w:val="00D5526B"/>
    <w:rsid w:val="00D553C0"/>
    <w:rsid w:val="00D55A26"/>
    <w:rsid w:val="00D55CAF"/>
    <w:rsid w:val="00D5668E"/>
    <w:rsid w:val="00D567A1"/>
    <w:rsid w:val="00D57557"/>
    <w:rsid w:val="00D575B5"/>
    <w:rsid w:val="00D57D78"/>
    <w:rsid w:val="00D60250"/>
    <w:rsid w:val="00D60805"/>
    <w:rsid w:val="00D609E8"/>
    <w:rsid w:val="00D60EE5"/>
    <w:rsid w:val="00D611C0"/>
    <w:rsid w:val="00D61A76"/>
    <w:rsid w:val="00D6202B"/>
    <w:rsid w:val="00D6264D"/>
    <w:rsid w:val="00D629B9"/>
    <w:rsid w:val="00D63289"/>
    <w:rsid w:val="00D634B9"/>
    <w:rsid w:val="00D64A0B"/>
    <w:rsid w:val="00D64F8B"/>
    <w:rsid w:val="00D659E8"/>
    <w:rsid w:val="00D667C3"/>
    <w:rsid w:val="00D669E5"/>
    <w:rsid w:val="00D66B27"/>
    <w:rsid w:val="00D67217"/>
    <w:rsid w:val="00D67DC7"/>
    <w:rsid w:val="00D70FF8"/>
    <w:rsid w:val="00D7100B"/>
    <w:rsid w:val="00D71870"/>
    <w:rsid w:val="00D71D28"/>
    <w:rsid w:val="00D71E7D"/>
    <w:rsid w:val="00D71FCE"/>
    <w:rsid w:val="00D7235F"/>
    <w:rsid w:val="00D727B5"/>
    <w:rsid w:val="00D72A2E"/>
    <w:rsid w:val="00D72BDC"/>
    <w:rsid w:val="00D72F5B"/>
    <w:rsid w:val="00D7381D"/>
    <w:rsid w:val="00D7461F"/>
    <w:rsid w:val="00D753D5"/>
    <w:rsid w:val="00D75D2C"/>
    <w:rsid w:val="00D75E13"/>
    <w:rsid w:val="00D76E5B"/>
    <w:rsid w:val="00D771B0"/>
    <w:rsid w:val="00D777B9"/>
    <w:rsid w:val="00D7790F"/>
    <w:rsid w:val="00D77B4B"/>
    <w:rsid w:val="00D80B66"/>
    <w:rsid w:val="00D8168D"/>
    <w:rsid w:val="00D81865"/>
    <w:rsid w:val="00D81B74"/>
    <w:rsid w:val="00D81CA4"/>
    <w:rsid w:val="00D83108"/>
    <w:rsid w:val="00D83419"/>
    <w:rsid w:val="00D8403E"/>
    <w:rsid w:val="00D84238"/>
    <w:rsid w:val="00D84410"/>
    <w:rsid w:val="00D84C3A"/>
    <w:rsid w:val="00D85FDD"/>
    <w:rsid w:val="00D8683D"/>
    <w:rsid w:val="00D8770C"/>
    <w:rsid w:val="00D87A0A"/>
    <w:rsid w:val="00D87A10"/>
    <w:rsid w:val="00D87CD9"/>
    <w:rsid w:val="00D90058"/>
    <w:rsid w:val="00D90A75"/>
    <w:rsid w:val="00D90BA6"/>
    <w:rsid w:val="00D91298"/>
    <w:rsid w:val="00D9138B"/>
    <w:rsid w:val="00D91572"/>
    <w:rsid w:val="00D91594"/>
    <w:rsid w:val="00D915B8"/>
    <w:rsid w:val="00D91D5A"/>
    <w:rsid w:val="00D91FB8"/>
    <w:rsid w:val="00D926F9"/>
    <w:rsid w:val="00D928BB"/>
    <w:rsid w:val="00D92F28"/>
    <w:rsid w:val="00D93762"/>
    <w:rsid w:val="00D93A62"/>
    <w:rsid w:val="00D9413A"/>
    <w:rsid w:val="00D9439A"/>
    <w:rsid w:val="00D94C21"/>
    <w:rsid w:val="00D95F04"/>
    <w:rsid w:val="00D9600D"/>
    <w:rsid w:val="00D96AB0"/>
    <w:rsid w:val="00DA0CA7"/>
    <w:rsid w:val="00DA13C1"/>
    <w:rsid w:val="00DA159E"/>
    <w:rsid w:val="00DA2002"/>
    <w:rsid w:val="00DA2586"/>
    <w:rsid w:val="00DA29EA"/>
    <w:rsid w:val="00DA2BAF"/>
    <w:rsid w:val="00DA2CB1"/>
    <w:rsid w:val="00DA3268"/>
    <w:rsid w:val="00DA3A19"/>
    <w:rsid w:val="00DA3C61"/>
    <w:rsid w:val="00DA3CAF"/>
    <w:rsid w:val="00DA405C"/>
    <w:rsid w:val="00DA4233"/>
    <w:rsid w:val="00DA4B43"/>
    <w:rsid w:val="00DA51E9"/>
    <w:rsid w:val="00DA5C1D"/>
    <w:rsid w:val="00DA6D25"/>
    <w:rsid w:val="00DA711F"/>
    <w:rsid w:val="00DA722D"/>
    <w:rsid w:val="00DA7D48"/>
    <w:rsid w:val="00DB020B"/>
    <w:rsid w:val="00DB186B"/>
    <w:rsid w:val="00DB1DE1"/>
    <w:rsid w:val="00DB212D"/>
    <w:rsid w:val="00DB29FD"/>
    <w:rsid w:val="00DB2A50"/>
    <w:rsid w:val="00DB395F"/>
    <w:rsid w:val="00DB4148"/>
    <w:rsid w:val="00DB44F3"/>
    <w:rsid w:val="00DB4B57"/>
    <w:rsid w:val="00DB5582"/>
    <w:rsid w:val="00DB5834"/>
    <w:rsid w:val="00DB5B1F"/>
    <w:rsid w:val="00DB5E72"/>
    <w:rsid w:val="00DB5FE6"/>
    <w:rsid w:val="00DB65D9"/>
    <w:rsid w:val="00DB66A0"/>
    <w:rsid w:val="00DB6BB1"/>
    <w:rsid w:val="00DB722E"/>
    <w:rsid w:val="00DB72F3"/>
    <w:rsid w:val="00DB7670"/>
    <w:rsid w:val="00DB7871"/>
    <w:rsid w:val="00DC028B"/>
    <w:rsid w:val="00DC10D1"/>
    <w:rsid w:val="00DC1162"/>
    <w:rsid w:val="00DC1BE8"/>
    <w:rsid w:val="00DC24E9"/>
    <w:rsid w:val="00DC2D00"/>
    <w:rsid w:val="00DC3B59"/>
    <w:rsid w:val="00DC3D4F"/>
    <w:rsid w:val="00DC3DA5"/>
    <w:rsid w:val="00DC3EF1"/>
    <w:rsid w:val="00DC471F"/>
    <w:rsid w:val="00DC500B"/>
    <w:rsid w:val="00DC5291"/>
    <w:rsid w:val="00DC5ABC"/>
    <w:rsid w:val="00DC5B0F"/>
    <w:rsid w:val="00DC62F5"/>
    <w:rsid w:val="00DC6601"/>
    <w:rsid w:val="00DC6A04"/>
    <w:rsid w:val="00DC6B6C"/>
    <w:rsid w:val="00DC6BEE"/>
    <w:rsid w:val="00DC7B52"/>
    <w:rsid w:val="00DD0217"/>
    <w:rsid w:val="00DD2273"/>
    <w:rsid w:val="00DD2D52"/>
    <w:rsid w:val="00DD327D"/>
    <w:rsid w:val="00DD330C"/>
    <w:rsid w:val="00DD423B"/>
    <w:rsid w:val="00DD4A7E"/>
    <w:rsid w:val="00DD4C00"/>
    <w:rsid w:val="00DD61B4"/>
    <w:rsid w:val="00DD7014"/>
    <w:rsid w:val="00DD72FE"/>
    <w:rsid w:val="00DD7C33"/>
    <w:rsid w:val="00DD7D28"/>
    <w:rsid w:val="00DE0B5B"/>
    <w:rsid w:val="00DE25A6"/>
    <w:rsid w:val="00DE2A7A"/>
    <w:rsid w:val="00DE2BB9"/>
    <w:rsid w:val="00DE39D3"/>
    <w:rsid w:val="00DE4598"/>
    <w:rsid w:val="00DE4FEA"/>
    <w:rsid w:val="00DE5B16"/>
    <w:rsid w:val="00DE75C0"/>
    <w:rsid w:val="00DE7BF1"/>
    <w:rsid w:val="00DF0073"/>
    <w:rsid w:val="00DF013D"/>
    <w:rsid w:val="00DF16C8"/>
    <w:rsid w:val="00DF1FB6"/>
    <w:rsid w:val="00DF23D5"/>
    <w:rsid w:val="00DF2C88"/>
    <w:rsid w:val="00DF2D1B"/>
    <w:rsid w:val="00DF381F"/>
    <w:rsid w:val="00DF4374"/>
    <w:rsid w:val="00DF46F3"/>
    <w:rsid w:val="00DF4E16"/>
    <w:rsid w:val="00DF53F3"/>
    <w:rsid w:val="00DF566E"/>
    <w:rsid w:val="00DF57D8"/>
    <w:rsid w:val="00DF66AB"/>
    <w:rsid w:val="00DF6A3F"/>
    <w:rsid w:val="00DF6EB0"/>
    <w:rsid w:val="00DF725E"/>
    <w:rsid w:val="00DF7563"/>
    <w:rsid w:val="00DF75F1"/>
    <w:rsid w:val="00DF77B3"/>
    <w:rsid w:val="00DF7C22"/>
    <w:rsid w:val="00DF7F2B"/>
    <w:rsid w:val="00E001B8"/>
    <w:rsid w:val="00E0083F"/>
    <w:rsid w:val="00E0219B"/>
    <w:rsid w:val="00E0248C"/>
    <w:rsid w:val="00E028C1"/>
    <w:rsid w:val="00E02C59"/>
    <w:rsid w:val="00E02DFD"/>
    <w:rsid w:val="00E03238"/>
    <w:rsid w:val="00E034E0"/>
    <w:rsid w:val="00E0548D"/>
    <w:rsid w:val="00E05791"/>
    <w:rsid w:val="00E059E4"/>
    <w:rsid w:val="00E06AC5"/>
    <w:rsid w:val="00E06DD2"/>
    <w:rsid w:val="00E06F00"/>
    <w:rsid w:val="00E07187"/>
    <w:rsid w:val="00E075BA"/>
    <w:rsid w:val="00E07A21"/>
    <w:rsid w:val="00E11800"/>
    <w:rsid w:val="00E118EC"/>
    <w:rsid w:val="00E11F40"/>
    <w:rsid w:val="00E122ED"/>
    <w:rsid w:val="00E123CC"/>
    <w:rsid w:val="00E12A97"/>
    <w:rsid w:val="00E12B0D"/>
    <w:rsid w:val="00E12BDB"/>
    <w:rsid w:val="00E12FD2"/>
    <w:rsid w:val="00E135D5"/>
    <w:rsid w:val="00E136B2"/>
    <w:rsid w:val="00E13B8E"/>
    <w:rsid w:val="00E13DB5"/>
    <w:rsid w:val="00E149D4"/>
    <w:rsid w:val="00E14B9C"/>
    <w:rsid w:val="00E153E5"/>
    <w:rsid w:val="00E169C6"/>
    <w:rsid w:val="00E16A3F"/>
    <w:rsid w:val="00E17746"/>
    <w:rsid w:val="00E17F1B"/>
    <w:rsid w:val="00E17F7D"/>
    <w:rsid w:val="00E20482"/>
    <w:rsid w:val="00E20A76"/>
    <w:rsid w:val="00E20B80"/>
    <w:rsid w:val="00E20E7E"/>
    <w:rsid w:val="00E21290"/>
    <w:rsid w:val="00E221E1"/>
    <w:rsid w:val="00E2252B"/>
    <w:rsid w:val="00E23188"/>
    <w:rsid w:val="00E23678"/>
    <w:rsid w:val="00E237D7"/>
    <w:rsid w:val="00E23CA3"/>
    <w:rsid w:val="00E25379"/>
    <w:rsid w:val="00E25899"/>
    <w:rsid w:val="00E259FF"/>
    <w:rsid w:val="00E25CA5"/>
    <w:rsid w:val="00E25DA9"/>
    <w:rsid w:val="00E26003"/>
    <w:rsid w:val="00E26A0D"/>
    <w:rsid w:val="00E276B0"/>
    <w:rsid w:val="00E3054F"/>
    <w:rsid w:val="00E31A3F"/>
    <w:rsid w:val="00E31FC0"/>
    <w:rsid w:val="00E32631"/>
    <w:rsid w:val="00E32BF5"/>
    <w:rsid w:val="00E3303B"/>
    <w:rsid w:val="00E33BDF"/>
    <w:rsid w:val="00E346D8"/>
    <w:rsid w:val="00E34D8A"/>
    <w:rsid w:val="00E34FBD"/>
    <w:rsid w:val="00E358CE"/>
    <w:rsid w:val="00E35EA9"/>
    <w:rsid w:val="00E362C5"/>
    <w:rsid w:val="00E40297"/>
    <w:rsid w:val="00E406C4"/>
    <w:rsid w:val="00E4092B"/>
    <w:rsid w:val="00E40978"/>
    <w:rsid w:val="00E423B4"/>
    <w:rsid w:val="00E42551"/>
    <w:rsid w:val="00E436EB"/>
    <w:rsid w:val="00E43B4E"/>
    <w:rsid w:val="00E43BC0"/>
    <w:rsid w:val="00E43D77"/>
    <w:rsid w:val="00E4406C"/>
    <w:rsid w:val="00E4417C"/>
    <w:rsid w:val="00E45072"/>
    <w:rsid w:val="00E4582D"/>
    <w:rsid w:val="00E45EF4"/>
    <w:rsid w:val="00E4601F"/>
    <w:rsid w:val="00E46245"/>
    <w:rsid w:val="00E46D7E"/>
    <w:rsid w:val="00E47850"/>
    <w:rsid w:val="00E47A91"/>
    <w:rsid w:val="00E5011E"/>
    <w:rsid w:val="00E503DD"/>
    <w:rsid w:val="00E50999"/>
    <w:rsid w:val="00E51190"/>
    <w:rsid w:val="00E5136B"/>
    <w:rsid w:val="00E5197E"/>
    <w:rsid w:val="00E51BA7"/>
    <w:rsid w:val="00E51C7A"/>
    <w:rsid w:val="00E51F47"/>
    <w:rsid w:val="00E52CA3"/>
    <w:rsid w:val="00E53C49"/>
    <w:rsid w:val="00E53D94"/>
    <w:rsid w:val="00E549AA"/>
    <w:rsid w:val="00E55B98"/>
    <w:rsid w:val="00E56BD9"/>
    <w:rsid w:val="00E56C0A"/>
    <w:rsid w:val="00E5767F"/>
    <w:rsid w:val="00E57ECD"/>
    <w:rsid w:val="00E61179"/>
    <w:rsid w:val="00E613DB"/>
    <w:rsid w:val="00E617D2"/>
    <w:rsid w:val="00E6277E"/>
    <w:rsid w:val="00E6297E"/>
    <w:rsid w:val="00E63B2A"/>
    <w:rsid w:val="00E63F57"/>
    <w:rsid w:val="00E64225"/>
    <w:rsid w:val="00E648BC"/>
    <w:rsid w:val="00E65325"/>
    <w:rsid w:val="00E657E0"/>
    <w:rsid w:val="00E65BA3"/>
    <w:rsid w:val="00E65D72"/>
    <w:rsid w:val="00E6672B"/>
    <w:rsid w:val="00E669FE"/>
    <w:rsid w:val="00E67A51"/>
    <w:rsid w:val="00E7316E"/>
    <w:rsid w:val="00E733AE"/>
    <w:rsid w:val="00E740BF"/>
    <w:rsid w:val="00E741D3"/>
    <w:rsid w:val="00E74326"/>
    <w:rsid w:val="00E74D37"/>
    <w:rsid w:val="00E7682D"/>
    <w:rsid w:val="00E76E19"/>
    <w:rsid w:val="00E802B9"/>
    <w:rsid w:val="00E81A3E"/>
    <w:rsid w:val="00E81BF6"/>
    <w:rsid w:val="00E81FAA"/>
    <w:rsid w:val="00E82CD0"/>
    <w:rsid w:val="00E82DC5"/>
    <w:rsid w:val="00E83856"/>
    <w:rsid w:val="00E83931"/>
    <w:rsid w:val="00E8396B"/>
    <w:rsid w:val="00E84287"/>
    <w:rsid w:val="00E843A2"/>
    <w:rsid w:val="00E8478D"/>
    <w:rsid w:val="00E84A6D"/>
    <w:rsid w:val="00E84CEF"/>
    <w:rsid w:val="00E84E97"/>
    <w:rsid w:val="00E861D8"/>
    <w:rsid w:val="00E864B2"/>
    <w:rsid w:val="00E87032"/>
    <w:rsid w:val="00E8795C"/>
    <w:rsid w:val="00E9007D"/>
    <w:rsid w:val="00E90B0B"/>
    <w:rsid w:val="00E923AA"/>
    <w:rsid w:val="00E92B2A"/>
    <w:rsid w:val="00E92C9D"/>
    <w:rsid w:val="00E93BB9"/>
    <w:rsid w:val="00E941E4"/>
    <w:rsid w:val="00E944E4"/>
    <w:rsid w:val="00E9470F"/>
    <w:rsid w:val="00E94977"/>
    <w:rsid w:val="00E94F36"/>
    <w:rsid w:val="00E9545D"/>
    <w:rsid w:val="00E955CB"/>
    <w:rsid w:val="00E95859"/>
    <w:rsid w:val="00E958EC"/>
    <w:rsid w:val="00E962CF"/>
    <w:rsid w:val="00E96C8A"/>
    <w:rsid w:val="00E9739F"/>
    <w:rsid w:val="00E974D5"/>
    <w:rsid w:val="00EA069B"/>
    <w:rsid w:val="00EA0A99"/>
    <w:rsid w:val="00EA0C14"/>
    <w:rsid w:val="00EA0E0A"/>
    <w:rsid w:val="00EA162C"/>
    <w:rsid w:val="00EA18CA"/>
    <w:rsid w:val="00EA1C92"/>
    <w:rsid w:val="00EA2505"/>
    <w:rsid w:val="00EA28E9"/>
    <w:rsid w:val="00EA2A87"/>
    <w:rsid w:val="00EA324F"/>
    <w:rsid w:val="00EA33B9"/>
    <w:rsid w:val="00EA3973"/>
    <w:rsid w:val="00EA415B"/>
    <w:rsid w:val="00EA443C"/>
    <w:rsid w:val="00EA4883"/>
    <w:rsid w:val="00EA4E7F"/>
    <w:rsid w:val="00EA51DC"/>
    <w:rsid w:val="00EA6142"/>
    <w:rsid w:val="00EA7632"/>
    <w:rsid w:val="00EB041C"/>
    <w:rsid w:val="00EB0CA4"/>
    <w:rsid w:val="00EB19FF"/>
    <w:rsid w:val="00EB23D4"/>
    <w:rsid w:val="00EB2875"/>
    <w:rsid w:val="00EB2D8C"/>
    <w:rsid w:val="00EB34F0"/>
    <w:rsid w:val="00EB3B2A"/>
    <w:rsid w:val="00EB3D90"/>
    <w:rsid w:val="00EB4656"/>
    <w:rsid w:val="00EB55FB"/>
    <w:rsid w:val="00EB6811"/>
    <w:rsid w:val="00EB72DD"/>
    <w:rsid w:val="00EB7627"/>
    <w:rsid w:val="00EC035F"/>
    <w:rsid w:val="00EC19E0"/>
    <w:rsid w:val="00EC20F7"/>
    <w:rsid w:val="00EC2C0C"/>
    <w:rsid w:val="00EC3115"/>
    <w:rsid w:val="00EC39E6"/>
    <w:rsid w:val="00EC3C38"/>
    <w:rsid w:val="00EC3E7D"/>
    <w:rsid w:val="00EC437B"/>
    <w:rsid w:val="00EC45F8"/>
    <w:rsid w:val="00EC4674"/>
    <w:rsid w:val="00EC4683"/>
    <w:rsid w:val="00EC4DEA"/>
    <w:rsid w:val="00EC5028"/>
    <w:rsid w:val="00EC58C7"/>
    <w:rsid w:val="00EC5A87"/>
    <w:rsid w:val="00EC6BCE"/>
    <w:rsid w:val="00EC7BC4"/>
    <w:rsid w:val="00EC7C15"/>
    <w:rsid w:val="00ED1322"/>
    <w:rsid w:val="00ED1427"/>
    <w:rsid w:val="00ED1905"/>
    <w:rsid w:val="00ED1AF6"/>
    <w:rsid w:val="00ED208F"/>
    <w:rsid w:val="00ED3059"/>
    <w:rsid w:val="00ED3128"/>
    <w:rsid w:val="00ED3A0E"/>
    <w:rsid w:val="00ED3A26"/>
    <w:rsid w:val="00ED3DA6"/>
    <w:rsid w:val="00ED3E07"/>
    <w:rsid w:val="00ED3F13"/>
    <w:rsid w:val="00ED4B39"/>
    <w:rsid w:val="00ED4B3A"/>
    <w:rsid w:val="00ED5AAE"/>
    <w:rsid w:val="00ED6287"/>
    <w:rsid w:val="00ED6F04"/>
    <w:rsid w:val="00ED7DB9"/>
    <w:rsid w:val="00EE09DD"/>
    <w:rsid w:val="00EE1BAB"/>
    <w:rsid w:val="00EE219F"/>
    <w:rsid w:val="00EE21C9"/>
    <w:rsid w:val="00EE24E8"/>
    <w:rsid w:val="00EE4088"/>
    <w:rsid w:val="00EE40C7"/>
    <w:rsid w:val="00EE40E3"/>
    <w:rsid w:val="00EE4D17"/>
    <w:rsid w:val="00EE5BD9"/>
    <w:rsid w:val="00EE5CE8"/>
    <w:rsid w:val="00EE64FA"/>
    <w:rsid w:val="00EE70F6"/>
    <w:rsid w:val="00EE76BD"/>
    <w:rsid w:val="00EE7E7A"/>
    <w:rsid w:val="00EF026C"/>
    <w:rsid w:val="00EF040B"/>
    <w:rsid w:val="00EF08C6"/>
    <w:rsid w:val="00EF1824"/>
    <w:rsid w:val="00EF1985"/>
    <w:rsid w:val="00EF1F65"/>
    <w:rsid w:val="00EF30B5"/>
    <w:rsid w:val="00EF3765"/>
    <w:rsid w:val="00EF394F"/>
    <w:rsid w:val="00EF3B9B"/>
    <w:rsid w:val="00EF4B57"/>
    <w:rsid w:val="00EF5753"/>
    <w:rsid w:val="00EF5C3F"/>
    <w:rsid w:val="00EF6277"/>
    <w:rsid w:val="00EF686B"/>
    <w:rsid w:val="00EF68A2"/>
    <w:rsid w:val="00EF6FC3"/>
    <w:rsid w:val="00EF74B8"/>
    <w:rsid w:val="00EF752A"/>
    <w:rsid w:val="00EF7F67"/>
    <w:rsid w:val="00F0166D"/>
    <w:rsid w:val="00F016D7"/>
    <w:rsid w:val="00F01B93"/>
    <w:rsid w:val="00F0218C"/>
    <w:rsid w:val="00F02D11"/>
    <w:rsid w:val="00F03283"/>
    <w:rsid w:val="00F033E7"/>
    <w:rsid w:val="00F03AB2"/>
    <w:rsid w:val="00F03DF3"/>
    <w:rsid w:val="00F048D5"/>
    <w:rsid w:val="00F0512F"/>
    <w:rsid w:val="00F0536F"/>
    <w:rsid w:val="00F072B2"/>
    <w:rsid w:val="00F0775C"/>
    <w:rsid w:val="00F107AD"/>
    <w:rsid w:val="00F10C55"/>
    <w:rsid w:val="00F10DA4"/>
    <w:rsid w:val="00F123AA"/>
    <w:rsid w:val="00F12887"/>
    <w:rsid w:val="00F1292A"/>
    <w:rsid w:val="00F12CC1"/>
    <w:rsid w:val="00F12FB2"/>
    <w:rsid w:val="00F14210"/>
    <w:rsid w:val="00F14462"/>
    <w:rsid w:val="00F14B34"/>
    <w:rsid w:val="00F153BA"/>
    <w:rsid w:val="00F154E5"/>
    <w:rsid w:val="00F15AB8"/>
    <w:rsid w:val="00F15BAA"/>
    <w:rsid w:val="00F162AE"/>
    <w:rsid w:val="00F16843"/>
    <w:rsid w:val="00F175C3"/>
    <w:rsid w:val="00F17E7A"/>
    <w:rsid w:val="00F210AC"/>
    <w:rsid w:val="00F21AC7"/>
    <w:rsid w:val="00F21BBC"/>
    <w:rsid w:val="00F22267"/>
    <w:rsid w:val="00F22B55"/>
    <w:rsid w:val="00F23C30"/>
    <w:rsid w:val="00F23E2A"/>
    <w:rsid w:val="00F24BDC"/>
    <w:rsid w:val="00F25F4C"/>
    <w:rsid w:val="00F27223"/>
    <w:rsid w:val="00F27586"/>
    <w:rsid w:val="00F276CB"/>
    <w:rsid w:val="00F27ABB"/>
    <w:rsid w:val="00F304FB"/>
    <w:rsid w:val="00F30908"/>
    <w:rsid w:val="00F316B3"/>
    <w:rsid w:val="00F3195C"/>
    <w:rsid w:val="00F31F56"/>
    <w:rsid w:val="00F32B0C"/>
    <w:rsid w:val="00F3321A"/>
    <w:rsid w:val="00F33ABE"/>
    <w:rsid w:val="00F34549"/>
    <w:rsid w:val="00F34BBD"/>
    <w:rsid w:val="00F35085"/>
    <w:rsid w:val="00F36228"/>
    <w:rsid w:val="00F37A2A"/>
    <w:rsid w:val="00F40C7C"/>
    <w:rsid w:val="00F40EDC"/>
    <w:rsid w:val="00F4158C"/>
    <w:rsid w:val="00F423E2"/>
    <w:rsid w:val="00F4251D"/>
    <w:rsid w:val="00F42CE8"/>
    <w:rsid w:val="00F43183"/>
    <w:rsid w:val="00F44092"/>
    <w:rsid w:val="00F44280"/>
    <w:rsid w:val="00F44435"/>
    <w:rsid w:val="00F444DE"/>
    <w:rsid w:val="00F44623"/>
    <w:rsid w:val="00F45451"/>
    <w:rsid w:val="00F45A11"/>
    <w:rsid w:val="00F45C56"/>
    <w:rsid w:val="00F463DE"/>
    <w:rsid w:val="00F465EA"/>
    <w:rsid w:val="00F466D0"/>
    <w:rsid w:val="00F46913"/>
    <w:rsid w:val="00F4700A"/>
    <w:rsid w:val="00F473A9"/>
    <w:rsid w:val="00F47981"/>
    <w:rsid w:val="00F47B4B"/>
    <w:rsid w:val="00F50278"/>
    <w:rsid w:val="00F508BA"/>
    <w:rsid w:val="00F5204B"/>
    <w:rsid w:val="00F5267B"/>
    <w:rsid w:val="00F52FA0"/>
    <w:rsid w:val="00F531DD"/>
    <w:rsid w:val="00F535DF"/>
    <w:rsid w:val="00F54744"/>
    <w:rsid w:val="00F54CE7"/>
    <w:rsid w:val="00F56E33"/>
    <w:rsid w:val="00F5734B"/>
    <w:rsid w:val="00F57579"/>
    <w:rsid w:val="00F61199"/>
    <w:rsid w:val="00F612F9"/>
    <w:rsid w:val="00F6161A"/>
    <w:rsid w:val="00F62391"/>
    <w:rsid w:val="00F633C8"/>
    <w:rsid w:val="00F63D18"/>
    <w:rsid w:val="00F64B75"/>
    <w:rsid w:val="00F65099"/>
    <w:rsid w:val="00F65519"/>
    <w:rsid w:val="00F65769"/>
    <w:rsid w:val="00F662FC"/>
    <w:rsid w:val="00F666D3"/>
    <w:rsid w:val="00F6682A"/>
    <w:rsid w:val="00F66BFF"/>
    <w:rsid w:val="00F66F95"/>
    <w:rsid w:val="00F67307"/>
    <w:rsid w:val="00F67E4D"/>
    <w:rsid w:val="00F70831"/>
    <w:rsid w:val="00F70F43"/>
    <w:rsid w:val="00F71083"/>
    <w:rsid w:val="00F715E2"/>
    <w:rsid w:val="00F72054"/>
    <w:rsid w:val="00F72245"/>
    <w:rsid w:val="00F728CA"/>
    <w:rsid w:val="00F72958"/>
    <w:rsid w:val="00F73312"/>
    <w:rsid w:val="00F737CD"/>
    <w:rsid w:val="00F739D4"/>
    <w:rsid w:val="00F73DE9"/>
    <w:rsid w:val="00F749A5"/>
    <w:rsid w:val="00F755B0"/>
    <w:rsid w:val="00F75ADC"/>
    <w:rsid w:val="00F7744E"/>
    <w:rsid w:val="00F801C3"/>
    <w:rsid w:val="00F802B3"/>
    <w:rsid w:val="00F802BA"/>
    <w:rsid w:val="00F805B8"/>
    <w:rsid w:val="00F80B06"/>
    <w:rsid w:val="00F80C7D"/>
    <w:rsid w:val="00F80D2B"/>
    <w:rsid w:val="00F8231B"/>
    <w:rsid w:val="00F82B84"/>
    <w:rsid w:val="00F83367"/>
    <w:rsid w:val="00F833BD"/>
    <w:rsid w:val="00F834CF"/>
    <w:rsid w:val="00F84479"/>
    <w:rsid w:val="00F8477C"/>
    <w:rsid w:val="00F84F9F"/>
    <w:rsid w:val="00F85511"/>
    <w:rsid w:val="00F85BEB"/>
    <w:rsid w:val="00F86344"/>
    <w:rsid w:val="00F87BD2"/>
    <w:rsid w:val="00F9058D"/>
    <w:rsid w:val="00F90B42"/>
    <w:rsid w:val="00F90BCF"/>
    <w:rsid w:val="00F91352"/>
    <w:rsid w:val="00F9176D"/>
    <w:rsid w:val="00F91D6D"/>
    <w:rsid w:val="00F91E0A"/>
    <w:rsid w:val="00F91FA0"/>
    <w:rsid w:val="00F929B0"/>
    <w:rsid w:val="00F92B1F"/>
    <w:rsid w:val="00F93128"/>
    <w:rsid w:val="00F93CF6"/>
    <w:rsid w:val="00F95B80"/>
    <w:rsid w:val="00F96369"/>
    <w:rsid w:val="00F96EC8"/>
    <w:rsid w:val="00F96EE3"/>
    <w:rsid w:val="00F97C3F"/>
    <w:rsid w:val="00F97CA3"/>
    <w:rsid w:val="00FA0578"/>
    <w:rsid w:val="00FA08EF"/>
    <w:rsid w:val="00FA0982"/>
    <w:rsid w:val="00FA1FAE"/>
    <w:rsid w:val="00FA2605"/>
    <w:rsid w:val="00FA3871"/>
    <w:rsid w:val="00FA53DC"/>
    <w:rsid w:val="00FA598B"/>
    <w:rsid w:val="00FA6EF1"/>
    <w:rsid w:val="00FA73FC"/>
    <w:rsid w:val="00FB0102"/>
    <w:rsid w:val="00FB04A5"/>
    <w:rsid w:val="00FB04DD"/>
    <w:rsid w:val="00FB058A"/>
    <w:rsid w:val="00FB0AB2"/>
    <w:rsid w:val="00FB0BF4"/>
    <w:rsid w:val="00FB0F14"/>
    <w:rsid w:val="00FB12B7"/>
    <w:rsid w:val="00FB15B6"/>
    <w:rsid w:val="00FB1D9E"/>
    <w:rsid w:val="00FB23E7"/>
    <w:rsid w:val="00FB2A47"/>
    <w:rsid w:val="00FB2B0F"/>
    <w:rsid w:val="00FB2E11"/>
    <w:rsid w:val="00FB3718"/>
    <w:rsid w:val="00FB4220"/>
    <w:rsid w:val="00FB5180"/>
    <w:rsid w:val="00FB5BA2"/>
    <w:rsid w:val="00FB67C4"/>
    <w:rsid w:val="00FB6865"/>
    <w:rsid w:val="00FB7C5B"/>
    <w:rsid w:val="00FB7E71"/>
    <w:rsid w:val="00FB7EE7"/>
    <w:rsid w:val="00FC0D87"/>
    <w:rsid w:val="00FC10B9"/>
    <w:rsid w:val="00FC1359"/>
    <w:rsid w:val="00FC20F3"/>
    <w:rsid w:val="00FC3281"/>
    <w:rsid w:val="00FC4599"/>
    <w:rsid w:val="00FC55B0"/>
    <w:rsid w:val="00FC576F"/>
    <w:rsid w:val="00FC60C6"/>
    <w:rsid w:val="00FC7037"/>
    <w:rsid w:val="00FC7432"/>
    <w:rsid w:val="00FC7669"/>
    <w:rsid w:val="00FD0D1A"/>
    <w:rsid w:val="00FD11D4"/>
    <w:rsid w:val="00FD153A"/>
    <w:rsid w:val="00FD1F94"/>
    <w:rsid w:val="00FD2111"/>
    <w:rsid w:val="00FD2C85"/>
    <w:rsid w:val="00FD2CD8"/>
    <w:rsid w:val="00FD3374"/>
    <w:rsid w:val="00FD38B4"/>
    <w:rsid w:val="00FD39B0"/>
    <w:rsid w:val="00FD3B26"/>
    <w:rsid w:val="00FD4CB2"/>
    <w:rsid w:val="00FD5385"/>
    <w:rsid w:val="00FD553F"/>
    <w:rsid w:val="00FD5EAE"/>
    <w:rsid w:val="00FD618F"/>
    <w:rsid w:val="00FD786A"/>
    <w:rsid w:val="00FD7AF2"/>
    <w:rsid w:val="00FD7BCD"/>
    <w:rsid w:val="00FE02D9"/>
    <w:rsid w:val="00FE04A2"/>
    <w:rsid w:val="00FE07BC"/>
    <w:rsid w:val="00FE0D39"/>
    <w:rsid w:val="00FE12F5"/>
    <w:rsid w:val="00FE1500"/>
    <w:rsid w:val="00FE2065"/>
    <w:rsid w:val="00FE22E3"/>
    <w:rsid w:val="00FE2653"/>
    <w:rsid w:val="00FE2FAD"/>
    <w:rsid w:val="00FE3841"/>
    <w:rsid w:val="00FE3BB4"/>
    <w:rsid w:val="00FE4362"/>
    <w:rsid w:val="00FE521B"/>
    <w:rsid w:val="00FE68E2"/>
    <w:rsid w:val="00FE6BB4"/>
    <w:rsid w:val="00FE6DED"/>
    <w:rsid w:val="00FE6EFB"/>
    <w:rsid w:val="00FE7A14"/>
    <w:rsid w:val="00FE7D98"/>
    <w:rsid w:val="00FE7E59"/>
    <w:rsid w:val="00FF02D8"/>
    <w:rsid w:val="00FF0ACB"/>
    <w:rsid w:val="00FF0F3E"/>
    <w:rsid w:val="00FF136F"/>
    <w:rsid w:val="00FF23BC"/>
    <w:rsid w:val="00FF2516"/>
    <w:rsid w:val="00FF3291"/>
    <w:rsid w:val="00FF3A64"/>
    <w:rsid w:val="00FF3D33"/>
    <w:rsid w:val="00FF3EF7"/>
    <w:rsid w:val="00FF4677"/>
    <w:rsid w:val="00FF54A8"/>
    <w:rsid w:val="00FF679E"/>
    <w:rsid w:val="00FF6A81"/>
    <w:rsid w:val="00FF702A"/>
    <w:rsid w:val="00FF73AE"/>
    <w:rsid w:val="18990D25"/>
    <w:rsid w:val="236E5285"/>
    <w:rsid w:val="241905AD"/>
    <w:rsid w:val="3175146E"/>
    <w:rsid w:val="46884660"/>
    <w:rsid w:val="521D71C0"/>
    <w:rsid w:val="52A03D34"/>
    <w:rsid w:val="5E717020"/>
    <w:rsid w:val="74DD1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iPriority="0" w:semiHidden="0" w:name="footnote reference"/>
    <w:lsdException w:qFormat="1" w:unhideWhenUsed="0" w:uiPriority="99"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name="List Bullet"/>
    <w:lsdException w:qFormat="1" w:unhideWhenUsed="0" w:uiPriority="0" w:semiHidden="0" w:name="List Number"/>
    <w:lsdException w:qFormat="1" w:unhideWhenUsed="0" w:uiPriority="0" w:name="List 2"/>
    <w:lsdException w:qFormat="1" w:unhideWhenUsed="0" w:uiPriority="0" w:name="List 3"/>
    <w:lsdException w:qFormat="1" w:unhideWhenUsed="0" w:uiPriority="0" w:semiHidden="0" w:name="List 4"/>
    <w:lsdException w:qFormat="1" w:unhideWhenUsed="0" w:uiPriority="0" w:semiHidden="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0"/>
    <w:pPr>
      <w:adjustRightInd w:val="0"/>
      <w:snapToGrid w:val="0"/>
      <w:spacing w:line="360" w:lineRule="auto"/>
      <w:jc w:val="center"/>
      <w:outlineLvl w:val="0"/>
    </w:pPr>
    <w:rPr>
      <w:rFonts w:ascii="黑体" w:hAnsi="宋体" w:eastAsia="黑体"/>
      <w:bCs/>
      <w:color w:val="000000"/>
      <w:w w:val="80"/>
      <w:sz w:val="36"/>
      <w:szCs w:val="36"/>
    </w:rPr>
  </w:style>
  <w:style w:type="paragraph" w:styleId="4">
    <w:name w:val="heading 2"/>
    <w:basedOn w:val="1"/>
    <w:next w:val="1"/>
    <w:link w:val="11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12"/>
    <w:qFormat/>
    <w:uiPriority w:val="0"/>
    <w:pPr>
      <w:tabs>
        <w:tab w:val="left" w:pos="482"/>
        <w:tab w:val="left" w:pos="3828"/>
      </w:tabs>
      <w:adjustRightInd w:val="0"/>
      <w:snapToGrid w:val="0"/>
      <w:spacing w:line="360" w:lineRule="auto"/>
      <w:ind w:left="482" w:hanging="482"/>
      <w:outlineLvl w:val="2"/>
    </w:pPr>
    <w:rPr>
      <w:rFonts w:ascii="Arial" w:hAnsi="Arial" w:eastAsia="黑体"/>
      <w:sz w:val="24"/>
    </w:rPr>
  </w:style>
  <w:style w:type="paragraph" w:styleId="7">
    <w:name w:val="heading 4"/>
    <w:basedOn w:val="1"/>
    <w:next w:val="6"/>
    <w:link w:val="113"/>
    <w:qFormat/>
    <w:uiPriority w:val="0"/>
    <w:pPr>
      <w:keepNext/>
      <w:autoSpaceDE w:val="0"/>
      <w:autoSpaceDN w:val="0"/>
      <w:adjustRightInd w:val="0"/>
      <w:spacing w:line="360" w:lineRule="auto"/>
      <w:outlineLvl w:val="3"/>
    </w:pPr>
    <w:rPr>
      <w:kern w:val="0"/>
      <w:sz w:val="28"/>
    </w:rPr>
  </w:style>
  <w:style w:type="paragraph" w:styleId="8">
    <w:name w:val="heading 5"/>
    <w:basedOn w:val="1"/>
    <w:next w:val="1"/>
    <w:link w:val="114"/>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11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116"/>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11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1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92">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macro"/>
    <w:link w:val="192"/>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textAlignment w:val="bottom"/>
    </w:pPr>
    <w:rPr>
      <w:rFonts w:ascii="宋体" w:hAnsi="Courier New" w:eastAsia="宋体" w:cs="Courier New"/>
      <w:sz w:val="24"/>
      <w:szCs w:val="24"/>
      <w:lang w:val="en-US" w:eastAsia="zh-CN" w:bidi="ar-SA"/>
    </w:rPr>
  </w:style>
  <w:style w:type="paragraph" w:styleId="6">
    <w:name w:val="Normal Indent"/>
    <w:basedOn w:val="1"/>
    <w:link w:val="190"/>
    <w:qFormat/>
    <w:uiPriority w:val="0"/>
    <w:pPr>
      <w:ind w:firstLine="420"/>
    </w:pPr>
  </w:style>
  <w:style w:type="paragraph" w:styleId="13">
    <w:name w:val="List 3"/>
    <w:basedOn w:val="1"/>
    <w:semiHidden/>
    <w:qFormat/>
    <w:uiPriority w:val="0"/>
    <w:pPr>
      <w:overflowPunct w:val="0"/>
      <w:autoSpaceDE w:val="0"/>
      <w:autoSpaceDN w:val="0"/>
      <w:snapToGrid w:val="0"/>
      <w:spacing w:line="336" w:lineRule="auto"/>
      <w:ind w:left="100" w:leftChars="400" w:hanging="200" w:hangingChars="200"/>
      <w:textAlignment w:val="bottom"/>
    </w:pPr>
    <w:rPr>
      <w:rFonts w:ascii="Times_New_Roman" w:hAnsi="Times_New_Roman" w:eastAsia="外交粗仿宋"/>
      <w:kern w:val="0"/>
      <w:sz w:val="32"/>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semiHidden/>
    <w:qFormat/>
    <w:uiPriority w:val="0"/>
    <w:pPr>
      <w:numPr>
        <w:ilvl w:val="0"/>
        <w:numId w:val="1"/>
      </w:numPr>
      <w:tabs>
        <w:tab w:val="left" w:pos="78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16">
    <w:name w:val="table of authorities"/>
    <w:basedOn w:val="1"/>
    <w:next w:val="1"/>
    <w:semiHidden/>
    <w:qFormat/>
    <w:uiPriority w:val="0"/>
    <w:pPr>
      <w:overflowPunct w:val="0"/>
      <w:autoSpaceDE w:val="0"/>
      <w:autoSpaceDN w:val="0"/>
      <w:snapToGrid w:val="0"/>
      <w:spacing w:line="336" w:lineRule="auto"/>
      <w:ind w:left="420" w:leftChars="200"/>
      <w:textAlignment w:val="bottom"/>
    </w:pPr>
    <w:rPr>
      <w:rFonts w:ascii="Times_New_Roman" w:hAnsi="Times_New_Roman" w:eastAsia="外交粗仿宋"/>
      <w:kern w:val="0"/>
      <w:sz w:val="32"/>
      <w:szCs w:val="20"/>
    </w:rPr>
  </w:style>
  <w:style w:type="paragraph" w:styleId="17">
    <w:name w:val="Note Heading"/>
    <w:basedOn w:val="1"/>
    <w:next w:val="1"/>
    <w:link w:val="216"/>
    <w:semiHidden/>
    <w:qFormat/>
    <w:uiPriority w:val="0"/>
    <w:pPr>
      <w:overflowPunct w:val="0"/>
      <w:autoSpaceDE w:val="0"/>
      <w:autoSpaceDN w:val="0"/>
      <w:snapToGrid w:val="0"/>
      <w:spacing w:line="336" w:lineRule="auto"/>
      <w:jc w:val="center"/>
      <w:textAlignment w:val="bottom"/>
    </w:pPr>
    <w:rPr>
      <w:rFonts w:ascii="Times_New_Roman" w:hAnsi="Times_New_Roman" w:eastAsia="外交粗仿宋"/>
      <w:kern w:val="0"/>
      <w:sz w:val="32"/>
      <w:szCs w:val="20"/>
    </w:rPr>
  </w:style>
  <w:style w:type="paragraph" w:styleId="18">
    <w:name w:val="List Bullet 4"/>
    <w:basedOn w:val="1"/>
    <w:semiHidden/>
    <w:qFormat/>
    <w:uiPriority w:val="0"/>
    <w:pPr>
      <w:numPr>
        <w:ilvl w:val="0"/>
        <w:numId w:val="2"/>
      </w:numPr>
      <w:tabs>
        <w:tab w:val="left" w:pos="162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19">
    <w:name w:val="index 8"/>
    <w:basedOn w:val="1"/>
    <w:next w:val="1"/>
    <w:semiHidden/>
    <w:qFormat/>
    <w:uiPriority w:val="0"/>
    <w:pPr>
      <w:overflowPunct w:val="0"/>
      <w:autoSpaceDE w:val="0"/>
      <w:autoSpaceDN w:val="0"/>
      <w:snapToGrid w:val="0"/>
      <w:spacing w:line="336" w:lineRule="auto"/>
      <w:ind w:left="1400" w:leftChars="1400"/>
      <w:textAlignment w:val="bottom"/>
    </w:pPr>
    <w:rPr>
      <w:rFonts w:ascii="Times_New_Roman" w:hAnsi="Times_New_Roman" w:eastAsia="外交粗仿宋"/>
      <w:kern w:val="0"/>
      <w:sz w:val="32"/>
      <w:szCs w:val="20"/>
    </w:rPr>
  </w:style>
  <w:style w:type="paragraph" w:styleId="20">
    <w:name w:val="E-mail Signature"/>
    <w:basedOn w:val="1"/>
    <w:link w:val="200"/>
    <w:semiHidden/>
    <w:qFormat/>
    <w:uiPriority w:val="0"/>
    <w:pPr>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21">
    <w:name w:val="List Number"/>
    <w:basedOn w:val="1"/>
    <w:qFormat/>
    <w:uiPriority w:val="0"/>
    <w:pPr>
      <w:numPr>
        <w:ilvl w:val="0"/>
        <w:numId w:val="3"/>
      </w:numPr>
    </w:pPr>
    <w:rPr>
      <w:szCs w:val="20"/>
    </w:rPr>
  </w:style>
  <w:style w:type="paragraph" w:styleId="22">
    <w:name w:val="caption"/>
    <w:basedOn w:val="1"/>
    <w:next w:val="1"/>
    <w:qFormat/>
    <w:uiPriority w:val="0"/>
    <w:pPr>
      <w:overflowPunct w:val="0"/>
      <w:autoSpaceDE w:val="0"/>
      <w:autoSpaceDN w:val="0"/>
      <w:snapToGrid w:val="0"/>
      <w:spacing w:line="336" w:lineRule="auto"/>
      <w:textAlignment w:val="bottom"/>
    </w:pPr>
    <w:rPr>
      <w:rFonts w:ascii="黑体" w:hAnsi="Arial" w:eastAsia="黑体" w:cs="Arial"/>
      <w:kern w:val="0"/>
      <w:sz w:val="20"/>
      <w:szCs w:val="20"/>
    </w:rPr>
  </w:style>
  <w:style w:type="paragraph" w:styleId="23">
    <w:name w:val="index 5"/>
    <w:basedOn w:val="1"/>
    <w:next w:val="1"/>
    <w:semiHidden/>
    <w:qFormat/>
    <w:uiPriority w:val="0"/>
    <w:pPr>
      <w:overflowPunct w:val="0"/>
      <w:autoSpaceDE w:val="0"/>
      <w:autoSpaceDN w:val="0"/>
      <w:snapToGrid w:val="0"/>
      <w:spacing w:line="336" w:lineRule="auto"/>
      <w:ind w:left="800" w:leftChars="800"/>
      <w:textAlignment w:val="bottom"/>
    </w:pPr>
    <w:rPr>
      <w:rFonts w:ascii="Times_New_Roman" w:hAnsi="Times_New_Roman" w:eastAsia="外交粗仿宋"/>
      <w:kern w:val="0"/>
      <w:sz w:val="32"/>
      <w:szCs w:val="20"/>
    </w:rPr>
  </w:style>
  <w:style w:type="paragraph" w:styleId="24">
    <w:name w:val="List Bullet"/>
    <w:basedOn w:val="1"/>
    <w:semiHidden/>
    <w:qFormat/>
    <w:uiPriority w:val="0"/>
    <w:pPr>
      <w:numPr>
        <w:ilvl w:val="0"/>
        <w:numId w:val="4"/>
      </w:numPr>
      <w:tabs>
        <w:tab w:val="left" w:pos="36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25">
    <w:name w:val="envelope address"/>
    <w:basedOn w:val="1"/>
    <w:semiHidden/>
    <w:qFormat/>
    <w:uiPriority w:val="0"/>
    <w:pPr>
      <w:framePr w:w="7920" w:h="1980" w:hRule="exact" w:hSpace="180" w:wrap="around" w:vAnchor="margin" w:hAnchor="page" w:xAlign="center" w:yAlign="bottom"/>
      <w:overflowPunct w:val="0"/>
      <w:autoSpaceDE w:val="0"/>
      <w:autoSpaceDN w:val="0"/>
      <w:snapToGrid w:val="0"/>
      <w:spacing w:line="336" w:lineRule="auto"/>
      <w:ind w:left="100" w:leftChars="1400"/>
      <w:textAlignment w:val="bottom"/>
    </w:pPr>
    <w:rPr>
      <w:rFonts w:ascii="Times_New_Roman" w:hAnsi="Times_New_Roman" w:eastAsia="外交粗仿宋" w:cs="Arial"/>
      <w:kern w:val="0"/>
      <w:sz w:val="24"/>
    </w:rPr>
  </w:style>
  <w:style w:type="paragraph" w:styleId="26">
    <w:name w:val="Document Map"/>
    <w:basedOn w:val="1"/>
    <w:link w:val="126"/>
    <w:qFormat/>
    <w:uiPriority w:val="0"/>
    <w:rPr>
      <w:rFonts w:ascii="宋体"/>
      <w:sz w:val="18"/>
      <w:szCs w:val="18"/>
    </w:rPr>
  </w:style>
  <w:style w:type="paragraph" w:styleId="27">
    <w:name w:val="toa heading"/>
    <w:basedOn w:val="1"/>
    <w:next w:val="1"/>
    <w:semiHidden/>
    <w:qFormat/>
    <w:uiPriority w:val="0"/>
    <w:pPr>
      <w:overflowPunct w:val="0"/>
      <w:autoSpaceDE w:val="0"/>
      <w:autoSpaceDN w:val="0"/>
      <w:snapToGrid w:val="0"/>
      <w:spacing w:before="120" w:line="336" w:lineRule="auto"/>
      <w:textAlignment w:val="bottom"/>
    </w:pPr>
    <w:rPr>
      <w:rFonts w:ascii="宋体" w:hAnsi="Arial" w:cs="Arial"/>
      <w:kern w:val="0"/>
      <w:sz w:val="24"/>
    </w:rPr>
  </w:style>
  <w:style w:type="paragraph" w:styleId="28">
    <w:name w:val="annotation text"/>
    <w:basedOn w:val="1"/>
    <w:link w:val="124"/>
    <w:qFormat/>
    <w:uiPriority w:val="99"/>
    <w:pPr>
      <w:jc w:val="left"/>
    </w:pPr>
    <w:rPr>
      <w:szCs w:val="20"/>
    </w:rPr>
  </w:style>
  <w:style w:type="paragraph" w:styleId="29">
    <w:name w:val="index 6"/>
    <w:basedOn w:val="1"/>
    <w:next w:val="1"/>
    <w:semiHidden/>
    <w:qFormat/>
    <w:uiPriority w:val="0"/>
    <w:pPr>
      <w:overflowPunct w:val="0"/>
      <w:autoSpaceDE w:val="0"/>
      <w:autoSpaceDN w:val="0"/>
      <w:snapToGrid w:val="0"/>
      <w:spacing w:line="336" w:lineRule="auto"/>
      <w:ind w:left="1000" w:leftChars="1000"/>
      <w:textAlignment w:val="bottom"/>
    </w:pPr>
    <w:rPr>
      <w:rFonts w:ascii="Times_New_Roman" w:hAnsi="Times_New_Roman" w:eastAsia="外交粗仿宋"/>
      <w:kern w:val="0"/>
      <w:sz w:val="32"/>
      <w:szCs w:val="20"/>
    </w:rPr>
  </w:style>
  <w:style w:type="paragraph" w:styleId="30">
    <w:name w:val="Salutation"/>
    <w:basedOn w:val="1"/>
    <w:next w:val="1"/>
    <w:link w:val="128"/>
    <w:qFormat/>
    <w:uiPriority w:val="0"/>
    <w:rPr>
      <w:rFonts w:ascii="楷体_GB2312" w:eastAsia="楷体_GB2312"/>
      <w:sz w:val="24"/>
    </w:rPr>
  </w:style>
  <w:style w:type="paragraph" w:styleId="31">
    <w:name w:val="Body Text 3"/>
    <w:basedOn w:val="1"/>
    <w:link w:val="219"/>
    <w:semiHidden/>
    <w:qFormat/>
    <w:uiPriority w:val="0"/>
    <w:pPr>
      <w:overflowPunct w:val="0"/>
      <w:autoSpaceDE w:val="0"/>
      <w:autoSpaceDN w:val="0"/>
      <w:snapToGrid w:val="0"/>
      <w:spacing w:after="120" w:line="336" w:lineRule="auto"/>
      <w:textAlignment w:val="bottom"/>
    </w:pPr>
    <w:rPr>
      <w:rFonts w:ascii="Times_New_Roman" w:hAnsi="Times_New_Roman" w:eastAsia="外交粗仿宋"/>
      <w:kern w:val="0"/>
      <w:sz w:val="16"/>
      <w:szCs w:val="16"/>
    </w:rPr>
  </w:style>
  <w:style w:type="paragraph" w:styleId="32">
    <w:name w:val="Closing"/>
    <w:basedOn w:val="1"/>
    <w:link w:val="201"/>
    <w:semiHidden/>
    <w:qFormat/>
    <w:uiPriority w:val="0"/>
    <w:pPr>
      <w:overflowPunct w:val="0"/>
      <w:autoSpaceDE w:val="0"/>
      <w:autoSpaceDN w:val="0"/>
      <w:snapToGrid w:val="0"/>
      <w:spacing w:line="336" w:lineRule="auto"/>
      <w:ind w:left="100" w:leftChars="2100"/>
      <w:textAlignment w:val="bottom"/>
    </w:pPr>
    <w:rPr>
      <w:rFonts w:ascii="Times_New_Roman" w:hAnsi="Times_New_Roman" w:eastAsia="外交粗仿宋"/>
      <w:kern w:val="0"/>
      <w:sz w:val="32"/>
      <w:szCs w:val="20"/>
    </w:rPr>
  </w:style>
  <w:style w:type="paragraph" w:styleId="33">
    <w:name w:val="List Bullet 3"/>
    <w:basedOn w:val="1"/>
    <w:semiHidden/>
    <w:qFormat/>
    <w:uiPriority w:val="0"/>
    <w:pPr>
      <w:numPr>
        <w:ilvl w:val="0"/>
        <w:numId w:val="5"/>
      </w:numPr>
      <w:tabs>
        <w:tab w:val="left" w:pos="120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34">
    <w:name w:val="Body Text"/>
    <w:basedOn w:val="1"/>
    <w:link w:val="226"/>
    <w:qFormat/>
    <w:uiPriority w:val="0"/>
    <w:pPr>
      <w:spacing w:before="120" w:line="360" w:lineRule="atLeast"/>
    </w:pPr>
    <w:rPr>
      <w:b/>
      <w:i/>
    </w:rPr>
  </w:style>
  <w:style w:type="paragraph" w:styleId="35">
    <w:name w:val="Body Text Indent"/>
    <w:basedOn w:val="1"/>
    <w:link w:val="129"/>
    <w:qFormat/>
    <w:uiPriority w:val="0"/>
    <w:pPr>
      <w:ind w:left="1260"/>
    </w:pPr>
  </w:style>
  <w:style w:type="paragraph" w:styleId="36">
    <w:name w:val="List Number 3"/>
    <w:basedOn w:val="1"/>
    <w:semiHidden/>
    <w:qFormat/>
    <w:uiPriority w:val="0"/>
    <w:pPr>
      <w:numPr>
        <w:ilvl w:val="0"/>
        <w:numId w:val="6"/>
      </w:numPr>
      <w:tabs>
        <w:tab w:val="left" w:pos="120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37">
    <w:name w:val="List 2"/>
    <w:basedOn w:val="1"/>
    <w:semiHidden/>
    <w:qFormat/>
    <w:uiPriority w:val="0"/>
    <w:pPr>
      <w:overflowPunct w:val="0"/>
      <w:autoSpaceDE w:val="0"/>
      <w:autoSpaceDN w:val="0"/>
      <w:snapToGrid w:val="0"/>
      <w:spacing w:line="336" w:lineRule="auto"/>
      <w:ind w:left="100" w:leftChars="200" w:hanging="200" w:hangingChars="200"/>
      <w:textAlignment w:val="bottom"/>
    </w:pPr>
    <w:rPr>
      <w:rFonts w:ascii="Times_New_Roman" w:hAnsi="Times_New_Roman" w:eastAsia="外交粗仿宋"/>
      <w:kern w:val="0"/>
      <w:sz w:val="32"/>
      <w:szCs w:val="20"/>
    </w:rPr>
  </w:style>
  <w:style w:type="paragraph" w:styleId="38">
    <w:name w:val="List Continue"/>
    <w:basedOn w:val="1"/>
    <w:semiHidden/>
    <w:qFormat/>
    <w:uiPriority w:val="0"/>
    <w:pPr>
      <w:overflowPunct w:val="0"/>
      <w:autoSpaceDE w:val="0"/>
      <w:autoSpaceDN w:val="0"/>
      <w:snapToGrid w:val="0"/>
      <w:spacing w:after="120" w:line="336" w:lineRule="auto"/>
      <w:ind w:left="420" w:leftChars="200"/>
      <w:textAlignment w:val="bottom"/>
    </w:pPr>
    <w:rPr>
      <w:rFonts w:ascii="Times_New_Roman" w:hAnsi="Times_New_Roman" w:eastAsia="外交粗仿宋"/>
      <w:kern w:val="0"/>
      <w:sz w:val="32"/>
      <w:szCs w:val="20"/>
    </w:rPr>
  </w:style>
  <w:style w:type="paragraph" w:styleId="39">
    <w:name w:val="Block Text"/>
    <w:basedOn w:val="1"/>
    <w:qFormat/>
    <w:uiPriority w:val="0"/>
    <w:pPr>
      <w:spacing w:line="360" w:lineRule="auto"/>
      <w:ind w:left="105" w:right="11"/>
    </w:pPr>
    <w:rPr>
      <w:rFonts w:ascii="仿宋_GB2312" w:hAnsi="宋体" w:eastAsia="仿宋_GB2312"/>
      <w:color w:val="000000"/>
      <w:sz w:val="24"/>
      <w:szCs w:val="20"/>
    </w:rPr>
  </w:style>
  <w:style w:type="paragraph" w:styleId="40">
    <w:name w:val="List Bullet 2"/>
    <w:basedOn w:val="1"/>
    <w:semiHidden/>
    <w:qFormat/>
    <w:uiPriority w:val="0"/>
    <w:pPr>
      <w:numPr>
        <w:ilvl w:val="0"/>
        <w:numId w:val="7"/>
      </w:numPr>
      <w:tabs>
        <w:tab w:val="left" w:pos="78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41">
    <w:name w:val="HTML Address"/>
    <w:basedOn w:val="1"/>
    <w:link w:val="195"/>
    <w:semiHidden/>
    <w:qFormat/>
    <w:uiPriority w:val="0"/>
    <w:pPr>
      <w:overflowPunct w:val="0"/>
      <w:autoSpaceDE w:val="0"/>
      <w:autoSpaceDN w:val="0"/>
      <w:snapToGrid w:val="0"/>
      <w:spacing w:line="336" w:lineRule="auto"/>
      <w:textAlignment w:val="bottom"/>
    </w:pPr>
    <w:rPr>
      <w:rFonts w:ascii="Times_New_Roman" w:hAnsi="Times_New_Roman" w:eastAsia="外交粗仿宋"/>
      <w:i/>
      <w:iCs/>
      <w:kern w:val="0"/>
      <w:sz w:val="32"/>
      <w:szCs w:val="20"/>
    </w:rPr>
  </w:style>
  <w:style w:type="paragraph" w:styleId="42">
    <w:name w:val="index 4"/>
    <w:basedOn w:val="1"/>
    <w:next w:val="1"/>
    <w:semiHidden/>
    <w:qFormat/>
    <w:uiPriority w:val="0"/>
    <w:pPr>
      <w:overflowPunct w:val="0"/>
      <w:autoSpaceDE w:val="0"/>
      <w:autoSpaceDN w:val="0"/>
      <w:snapToGrid w:val="0"/>
      <w:spacing w:line="336" w:lineRule="auto"/>
      <w:ind w:left="600" w:leftChars="600"/>
      <w:textAlignment w:val="bottom"/>
    </w:pPr>
    <w:rPr>
      <w:rFonts w:ascii="Times_New_Roman" w:hAnsi="Times_New_Roman" w:eastAsia="外交粗仿宋"/>
      <w:kern w:val="0"/>
      <w:sz w:val="32"/>
      <w:szCs w:val="20"/>
    </w:r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39"/>
    <w:pPr>
      <w:ind w:left="420"/>
      <w:jc w:val="left"/>
    </w:pPr>
    <w:rPr>
      <w:i/>
      <w:iCs/>
      <w:sz w:val="20"/>
      <w:szCs w:val="20"/>
    </w:rPr>
  </w:style>
  <w:style w:type="paragraph" w:styleId="45">
    <w:name w:val="Plain Text"/>
    <w:basedOn w:val="1"/>
    <w:link w:val="121"/>
    <w:qFormat/>
    <w:uiPriority w:val="0"/>
    <w:rPr>
      <w:rFonts w:ascii="宋体" w:hAnsi="Courier New"/>
      <w:szCs w:val="21"/>
    </w:rPr>
  </w:style>
  <w:style w:type="paragraph" w:styleId="46">
    <w:name w:val="List Bullet 5"/>
    <w:basedOn w:val="1"/>
    <w:semiHidden/>
    <w:qFormat/>
    <w:uiPriority w:val="0"/>
    <w:pPr>
      <w:numPr>
        <w:ilvl w:val="0"/>
        <w:numId w:val="8"/>
      </w:numPr>
      <w:tabs>
        <w:tab w:val="left" w:pos="204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47">
    <w:name w:val="List Number 4"/>
    <w:basedOn w:val="1"/>
    <w:semiHidden/>
    <w:qFormat/>
    <w:uiPriority w:val="0"/>
    <w:pPr>
      <w:numPr>
        <w:ilvl w:val="0"/>
        <w:numId w:val="9"/>
      </w:numPr>
      <w:tabs>
        <w:tab w:val="left" w:pos="162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48">
    <w:name w:val="toc 8"/>
    <w:basedOn w:val="1"/>
    <w:next w:val="1"/>
    <w:qFormat/>
    <w:uiPriority w:val="0"/>
    <w:pPr>
      <w:ind w:left="1470"/>
      <w:jc w:val="left"/>
    </w:pPr>
    <w:rPr>
      <w:sz w:val="18"/>
      <w:szCs w:val="18"/>
    </w:rPr>
  </w:style>
  <w:style w:type="paragraph" w:styleId="49">
    <w:name w:val="index 3"/>
    <w:basedOn w:val="1"/>
    <w:next w:val="1"/>
    <w:semiHidden/>
    <w:qFormat/>
    <w:uiPriority w:val="0"/>
    <w:pPr>
      <w:overflowPunct w:val="0"/>
      <w:autoSpaceDE w:val="0"/>
      <w:autoSpaceDN w:val="0"/>
      <w:snapToGrid w:val="0"/>
      <w:spacing w:line="336" w:lineRule="auto"/>
      <w:ind w:left="400" w:leftChars="400"/>
      <w:textAlignment w:val="bottom"/>
    </w:pPr>
    <w:rPr>
      <w:rFonts w:ascii="Times_New_Roman" w:hAnsi="Times_New_Roman" w:eastAsia="外交粗仿宋"/>
      <w:kern w:val="0"/>
      <w:sz w:val="32"/>
      <w:szCs w:val="20"/>
    </w:rPr>
  </w:style>
  <w:style w:type="paragraph" w:styleId="50">
    <w:name w:val="Date"/>
    <w:basedOn w:val="1"/>
    <w:next w:val="1"/>
    <w:link w:val="127"/>
    <w:qFormat/>
    <w:uiPriority w:val="0"/>
    <w:rPr>
      <w:rFonts w:ascii="Arial" w:hAnsi="Arial" w:eastAsia="黑体"/>
      <w:sz w:val="28"/>
    </w:rPr>
  </w:style>
  <w:style w:type="paragraph" w:styleId="51">
    <w:name w:val="Body Text Indent 2"/>
    <w:basedOn w:val="1"/>
    <w:link w:val="139"/>
    <w:qFormat/>
    <w:uiPriority w:val="0"/>
    <w:pPr>
      <w:ind w:left="420" w:firstLine="420"/>
    </w:pPr>
    <w:rPr>
      <w:rFonts w:ascii="宋体"/>
      <w:sz w:val="24"/>
    </w:rPr>
  </w:style>
  <w:style w:type="paragraph" w:styleId="52">
    <w:name w:val="endnote text"/>
    <w:basedOn w:val="1"/>
    <w:link w:val="210"/>
    <w:semiHidden/>
    <w:qFormat/>
    <w:uiPriority w:val="0"/>
    <w:pPr>
      <w:overflowPunct w:val="0"/>
      <w:autoSpaceDE w:val="0"/>
      <w:autoSpaceDN w:val="0"/>
      <w:snapToGrid w:val="0"/>
      <w:spacing w:line="336" w:lineRule="auto"/>
      <w:jc w:val="left"/>
      <w:textAlignment w:val="bottom"/>
    </w:pPr>
    <w:rPr>
      <w:rFonts w:ascii="Times_New_Roman" w:hAnsi="Times_New_Roman" w:eastAsia="外交粗仿宋"/>
      <w:kern w:val="0"/>
      <w:sz w:val="32"/>
      <w:szCs w:val="20"/>
    </w:rPr>
  </w:style>
  <w:style w:type="paragraph" w:styleId="53">
    <w:name w:val="List Continue 5"/>
    <w:basedOn w:val="1"/>
    <w:semiHidden/>
    <w:qFormat/>
    <w:uiPriority w:val="0"/>
    <w:pPr>
      <w:overflowPunct w:val="0"/>
      <w:autoSpaceDE w:val="0"/>
      <w:autoSpaceDN w:val="0"/>
      <w:snapToGrid w:val="0"/>
      <w:spacing w:after="120" w:line="336" w:lineRule="auto"/>
      <w:ind w:left="2100" w:leftChars="1000"/>
      <w:textAlignment w:val="bottom"/>
    </w:pPr>
    <w:rPr>
      <w:rFonts w:ascii="Times_New_Roman" w:hAnsi="Times_New_Roman" w:eastAsia="外交粗仿宋"/>
      <w:kern w:val="0"/>
      <w:sz w:val="32"/>
      <w:szCs w:val="20"/>
    </w:rPr>
  </w:style>
  <w:style w:type="paragraph" w:styleId="54">
    <w:name w:val="Balloon Text"/>
    <w:basedOn w:val="1"/>
    <w:link w:val="120"/>
    <w:qFormat/>
    <w:uiPriority w:val="0"/>
    <w:rPr>
      <w:sz w:val="18"/>
      <w:szCs w:val="18"/>
    </w:rPr>
  </w:style>
  <w:style w:type="paragraph" w:styleId="55">
    <w:name w:val="footer"/>
    <w:basedOn w:val="1"/>
    <w:link w:val="122"/>
    <w:qFormat/>
    <w:uiPriority w:val="0"/>
    <w:pPr>
      <w:tabs>
        <w:tab w:val="center" w:pos="4153"/>
        <w:tab w:val="right" w:pos="8306"/>
      </w:tabs>
      <w:snapToGrid w:val="0"/>
      <w:jc w:val="left"/>
    </w:pPr>
    <w:rPr>
      <w:sz w:val="18"/>
    </w:rPr>
  </w:style>
  <w:style w:type="paragraph" w:styleId="56">
    <w:name w:val="envelope return"/>
    <w:basedOn w:val="1"/>
    <w:semiHidden/>
    <w:qFormat/>
    <w:uiPriority w:val="0"/>
    <w:pPr>
      <w:overflowPunct w:val="0"/>
      <w:autoSpaceDE w:val="0"/>
      <w:autoSpaceDN w:val="0"/>
      <w:snapToGrid w:val="0"/>
      <w:spacing w:line="336" w:lineRule="auto"/>
      <w:textAlignment w:val="bottom"/>
    </w:pPr>
    <w:rPr>
      <w:rFonts w:ascii="Times_New_Roman" w:hAnsi="Times_New_Roman" w:eastAsia="外交粗仿宋" w:cs="Arial"/>
      <w:kern w:val="0"/>
      <w:sz w:val="32"/>
      <w:szCs w:val="20"/>
    </w:rPr>
  </w:style>
  <w:style w:type="paragraph" w:styleId="57">
    <w:name w:val="header"/>
    <w:basedOn w:val="1"/>
    <w:link w:val="123"/>
    <w:qFormat/>
    <w:uiPriority w:val="0"/>
    <w:pPr>
      <w:pBdr>
        <w:bottom w:val="single" w:color="auto" w:sz="6" w:space="1"/>
      </w:pBdr>
      <w:tabs>
        <w:tab w:val="center" w:pos="4153"/>
        <w:tab w:val="right" w:pos="8306"/>
      </w:tabs>
      <w:snapToGrid w:val="0"/>
      <w:jc w:val="center"/>
    </w:pPr>
    <w:rPr>
      <w:sz w:val="18"/>
    </w:rPr>
  </w:style>
  <w:style w:type="paragraph" w:styleId="58">
    <w:name w:val="Signature"/>
    <w:basedOn w:val="1"/>
    <w:link w:val="209"/>
    <w:semiHidden/>
    <w:qFormat/>
    <w:uiPriority w:val="0"/>
    <w:pPr>
      <w:overflowPunct w:val="0"/>
      <w:autoSpaceDE w:val="0"/>
      <w:autoSpaceDN w:val="0"/>
      <w:snapToGrid w:val="0"/>
      <w:spacing w:line="336" w:lineRule="auto"/>
      <w:ind w:left="100" w:leftChars="2100"/>
      <w:textAlignment w:val="bottom"/>
    </w:pPr>
    <w:rPr>
      <w:rFonts w:ascii="Times_New_Roman" w:hAnsi="Times_New_Roman" w:eastAsia="外交粗仿宋"/>
      <w:kern w:val="0"/>
      <w:sz w:val="32"/>
      <w:szCs w:val="20"/>
    </w:rPr>
  </w:style>
  <w:style w:type="paragraph" w:styleId="59">
    <w:name w:val="toc 1"/>
    <w:basedOn w:val="1"/>
    <w:next w:val="1"/>
    <w:qFormat/>
    <w:uiPriority w:val="39"/>
    <w:pPr>
      <w:spacing w:before="120" w:after="120"/>
      <w:jc w:val="center"/>
    </w:pPr>
    <w:rPr>
      <w:b/>
      <w:bCs/>
      <w:caps/>
      <w:sz w:val="20"/>
      <w:szCs w:val="20"/>
    </w:rPr>
  </w:style>
  <w:style w:type="paragraph" w:styleId="60">
    <w:name w:val="List Continue 4"/>
    <w:basedOn w:val="1"/>
    <w:semiHidden/>
    <w:qFormat/>
    <w:uiPriority w:val="0"/>
    <w:pPr>
      <w:overflowPunct w:val="0"/>
      <w:autoSpaceDE w:val="0"/>
      <w:autoSpaceDN w:val="0"/>
      <w:snapToGrid w:val="0"/>
      <w:spacing w:after="120" w:line="336" w:lineRule="auto"/>
      <w:ind w:left="1680" w:leftChars="800"/>
      <w:textAlignment w:val="bottom"/>
    </w:pPr>
    <w:rPr>
      <w:rFonts w:ascii="Times_New_Roman" w:hAnsi="Times_New_Roman" w:eastAsia="外交粗仿宋"/>
      <w:kern w:val="0"/>
      <w:sz w:val="32"/>
      <w:szCs w:val="20"/>
    </w:rPr>
  </w:style>
  <w:style w:type="paragraph" w:styleId="61">
    <w:name w:val="toc 4"/>
    <w:basedOn w:val="1"/>
    <w:next w:val="1"/>
    <w:qFormat/>
    <w:uiPriority w:val="0"/>
    <w:pPr>
      <w:ind w:left="630"/>
      <w:jc w:val="left"/>
    </w:pPr>
    <w:rPr>
      <w:sz w:val="18"/>
      <w:szCs w:val="18"/>
    </w:rPr>
  </w:style>
  <w:style w:type="paragraph" w:styleId="62">
    <w:name w:val="index heading"/>
    <w:basedOn w:val="1"/>
    <w:next w:val="63"/>
    <w:semiHidden/>
    <w:qFormat/>
    <w:uiPriority w:val="0"/>
    <w:pPr>
      <w:overflowPunct w:val="0"/>
      <w:autoSpaceDE w:val="0"/>
      <w:autoSpaceDN w:val="0"/>
      <w:snapToGrid w:val="0"/>
      <w:spacing w:line="336" w:lineRule="auto"/>
      <w:textAlignment w:val="bottom"/>
    </w:pPr>
    <w:rPr>
      <w:rFonts w:ascii="Times_New_Roman" w:hAnsi="Times_New_Roman" w:eastAsia="外交粗仿宋" w:cs="Arial"/>
      <w:b/>
      <w:bCs/>
      <w:kern w:val="0"/>
      <w:sz w:val="32"/>
      <w:szCs w:val="20"/>
    </w:rPr>
  </w:style>
  <w:style w:type="paragraph" w:styleId="63">
    <w:name w:val="index 1"/>
    <w:basedOn w:val="1"/>
    <w:next w:val="1"/>
    <w:unhideWhenUsed/>
    <w:qFormat/>
    <w:uiPriority w:val="0"/>
  </w:style>
  <w:style w:type="paragraph" w:styleId="64">
    <w:name w:val="Subtitle"/>
    <w:basedOn w:val="1"/>
    <w:next w:val="1"/>
    <w:link w:val="142"/>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semiHidden/>
    <w:qFormat/>
    <w:uiPriority w:val="0"/>
    <w:pPr>
      <w:numPr>
        <w:ilvl w:val="0"/>
        <w:numId w:val="10"/>
      </w:numPr>
      <w:tabs>
        <w:tab w:val="left" w:pos="2040"/>
      </w:tabs>
      <w:overflowPunct w:val="0"/>
      <w:autoSpaceDE w:val="0"/>
      <w:autoSpaceDN w:val="0"/>
      <w:snapToGrid w:val="0"/>
      <w:spacing w:line="336" w:lineRule="auto"/>
      <w:textAlignment w:val="bottom"/>
    </w:pPr>
    <w:rPr>
      <w:rFonts w:ascii="Times_New_Roman" w:hAnsi="Times_New_Roman" w:eastAsia="外交粗仿宋"/>
      <w:kern w:val="0"/>
      <w:sz w:val="32"/>
      <w:szCs w:val="20"/>
    </w:rPr>
  </w:style>
  <w:style w:type="paragraph" w:styleId="66">
    <w:name w:val="List"/>
    <w:basedOn w:val="1"/>
    <w:qFormat/>
    <w:uiPriority w:val="0"/>
    <w:pPr>
      <w:ind w:left="420" w:hanging="420"/>
    </w:pPr>
  </w:style>
  <w:style w:type="paragraph" w:styleId="67">
    <w:name w:val="footnote text"/>
    <w:basedOn w:val="1"/>
    <w:link w:val="130"/>
    <w:unhideWhenUsed/>
    <w:qFormat/>
    <w:uiPriority w:val="0"/>
    <w:pPr>
      <w:snapToGrid w:val="0"/>
      <w:jc w:val="left"/>
    </w:pPr>
    <w:rPr>
      <w:rFonts w:ascii="Calibri" w:hAnsi="Calibri"/>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overflowPunct w:val="0"/>
      <w:autoSpaceDE w:val="0"/>
      <w:autoSpaceDN w:val="0"/>
      <w:snapToGrid w:val="0"/>
      <w:spacing w:line="336" w:lineRule="auto"/>
      <w:ind w:left="100" w:leftChars="800" w:hanging="200" w:hangingChars="200"/>
      <w:textAlignment w:val="bottom"/>
    </w:pPr>
    <w:rPr>
      <w:rFonts w:ascii="Times_New_Roman" w:hAnsi="Times_New_Roman" w:eastAsia="外交粗仿宋"/>
      <w:kern w:val="0"/>
      <w:sz w:val="32"/>
      <w:szCs w:val="20"/>
    </w:rPr>
  </w:style>
  <w:style w:type="paragraph" w:styleId="70">
    <w:name w:val="Body Text Indent 3"/>
    <w:basedOn w:val="1"/>
    <w:link w:val="133"/>
    <w:qFormat/>
    <w:uiPriority w:val="0"/>
    <w:pPr>
      <w:spacing w:before="120" w:line="360" w:lineRule="atLeast"/>
      <w:ind w:firstLine="540"/>
    </w:pPr>
    <w:rPr>
      <w:rFonts w:ascii="Courier New" w:hAnsi="Courier New"/>
    </w:rPr>
  </w:style>
  <w:style w:type="paragraph" w:styleId="71">
    <w:name w:val="index 7"/>
    <w:basedOn w:val="1"/>
    <w:next w:val="1"/>
    <w:semiHidden/>
    <w:qFormat/>
    <w:uiPriority w:val="0"/>
    <w:pPr>
      <w:overflowPunct w:val="0"/>
      <w:autoSpaceDE w:val="0"/>
      <w:autoSpaceDN w:val="0"/>
      <w:snapToGrid w:val="0"/>
      <w:spacing w:line="336" w:lineRule="auto"/>
      <w:ind w:left="1200" w:leftChars="1200"/>
      <w:textAlignment w:val="bottom"/>
    </w:pPr>
    <w:rPr>
      <w:rFonts w:ascii="Times_New_Roman" w:hAnsi="Times_New_Roman" w:eastAsia="外交粗仿宋"/>
      <w:kern w:val="0"/>
      <w:sz w:val="32"/>
      <w:szCs w:val="20"/>
    </w:rPr>
  </w:style>
  <w:style w:type="paragraph" w:styleId="72">
    <w:name w:val="index 9"/>
    <w:basedOn w:val="1"/>
    <w:next w:val="1"/>
    <w:semiHidden/>
    <w:qFormat/>
    <w:uiPriority w:val="0"/>
    <w:pPr>
      <w:overflowPunct w:val="0"/>
      <w:autoSpaceDE w:val="0"/>
      <w:autoSpaceDN w:val="0"/>
      <w:snapToGrid w:val="0"/>
      <w:spacing w:line="336" w:lineRule="auto"/>
      <w:ind w:left="1600" w:leftChars="1600"/>
      <w:textAlignment w:val="bottom"/>
    </w:pPr>
    <w:rPr>
      <w:rFonts w:ascii="Times_New_Roman" w:hAnsi="Times_New_Roman" w:eastAsia="外交粗仿宋"/>
      <w:kern w:val="0"/>
      <w:sz w:val="32"/>
      <w:szCs w:val="20"/>
    </w:rPr>
  </w:style>
  <w:style w:type="paragraph" w:styleId="73">
    <w:name w:val="table of figures"/>
    <w:basedOn w:val="1"/>
    <w:next w:val="1"/>
    <w:semiHidden/>
    <w:qFormat/>
    <w:uiPriority w:val="0"/>
    <w:pPr>
      <w:overflowPunct w:val="0"/>
      <w:autoSpaceDE w:val="0"/>
      <w:autoSpaceDN w:val="0"/>
      <w:snapToGrid w:val="0"/>
      <w:spacing w:line="336" w:lineRule="auto"/>
      <w:ind w:left="200" w:leftChars="200" w:hanging="200" w:hangingChars="200"/>
      <w:textAlignment w:val="bottom"/>
    </w:pPr>
    <w:rPr>
      <w:rFonts w:ascii="Times_New_Roman" w:hAnsi="Times_New_Roman" w:eastAsia="外交粗仿宋"/>
      <w:kern w:val="0"/>
      <w:sz w:val="32"/>
      <w:szCs w:val="20"/>
    </w:r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qFormat/>
    <w:uiPriority w:val="0"/>
    <w:pPr>
      <w:widowControl/>
      <w:spacing w:line="360" w:lineRule="auto"/>
      <w:jc w:val="left"/>
    </w:pPr>
    <w:rPr>
      <w:rFonts w:ascii="楷体_GB2312" w:hAnsi="Garamond" w:eastAsia="楷体_GB2312"/>
      <w:color w:val="FF0000"/>
      <w:kern w:val="0"/>
      <w:sz w:val="24"/>
    </w:rPr>
  </w:style>
  <w:style w:type="paragraph" w:styleId="77">
    <w:name w:val="List 4"/>
    <w:basedOn w:val="1"/>
    <w:qFormat/>
    <w:uiPriority w:val="0"/>
    <w:pPr>
      <w:overflowPunct w:val="0"/>
      <w:autoSpaceDE w:val="0"/>
      <w:autoSpaceDN w:val="0"/>
      <w:snapToGrid w:val="0"/>
      <w:spacing w:line="336" w:lineRule="auto"/>
      <w:ind w:left="100" w:leftChars="600" w:hanging="200" w:hangingChars="200"/>
      <w:textAlignment w:val="bottom"/>
    </w:pPr>
    <w:rPr>
      <w:rFonts w:ascii="Times_New_Roman" w:hAnsi="Times_New_Roman" w:eastAsia="外交粗仿宋"/>
      <w:kern w:val="0"/>
      <w:sz w:val="32"/>
      <w:szCs w:val="20"/>
    </w:rPr>
  </w:style>
  <w:style w:type="paragraph" w:styleId="78">
    <w:name w:val="List Continue 2"/>
    <w:basedOn w:val="1"/>
    <w:semiHidden/>
    <w:qFormat/>
    <w:uiPriority w:val="0"/>
    <w:pPr>
      <w:overflowPunct w:val="0"/>
      <w:autoSpaceDE w:val="0"/>
      <w:autoSpaceDN w:val="0"/>
      <w:snapToGrid w:val="0"/>
      <w:spacing w:after="120" w:line="336" w:lineRule="auto"/>
      <w:ind w:left="840" w:leftChars="400"/>
      <w:textAlignment w:val="bottom"/>
    </w:pPr>
    <w:rPr>
      <w:rFonts w:ascii="Times_New_Roman" w:hAnsi="Times_New_Roman" w:eastAsia="外交粗仿宋"/>
      <w:kern w:val="0"/>
      <w:sz w:val="32"/>
      <w:szCs w:val="20"/>
    </w:rPr>
  </w:style>
  <w:style w:type="paragraph" w:styleId="79">
    <w:name w:val="Message Header"/>
    <w:basedOn w:val="1"/>
    <w:link w:val="208"/>
    <w:semiHidden/>
    <w:qFormat/>
    <w:uiPriority w:val="0"/>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snapToGrid w:val="0"/>
      <w:spacing w:line="336" w:lineRule="auto"/>
      <w:ind w:left="1080" w:leftChars="500" w:hanging="1080" w:hangingChars="500"/>
      <w:textAlignment w:val="bottom"/>
    </w:pPr>
    <w:rPr>
      <w:rFonts w:ascii="Times_New_Roman" w:hAnsi="Times_New_Roman" w:eastAsia="外交粗仿宋" w:cs="Arial"/>
      <w:kern w:val="0"/>
      <w:sz w:val="24"/>
    </w:rPr>
  </w:style>
  <w:style w:type="paragraph" w:styleId="80">
    <w:name w:val="HTML Preformatted"/>
    <w:basedOn w:val="1"/>
    <w:link w:val="214"/>
    <w:semiHidden/>
    <w:qFormat/>
    <w:uiPriority w:val="0"/>
    <w:pPr>
      <w:overflowPunct w:val="0"/>
      <w:autoSpaceDE w:val="0"/>
      <w:autoSpaceDN w:val="0"/>
      <w:snapToGrid w:val="0"/>
      <w:spacing w:line="336" w:lineRule="auto"/>
      <w:textAlignment w:val="bottom"/>
    </w:pPr>
    <w:rPr>
      <w:rFonts w:ascii="Times_New_Roman" w:hAnsi="Times_New_Roman" w:eastAsia="外交粗仿宋" w:cs="Courier New"/>
      <w:kern w:val="0"/>
      <w:sz w:val="20"/>
      <w:szCs w:val="20"/>
    </w:rPr>
  </w:style>
  <w:style w:type="paragraph" w:styleId="8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semiHidden/>
    <w:qFormat/>
    <w:uiPriority w:val="0"/>
    <w:pPr>
      <w:overflowPunct w:val="0"/>
      <w:autoSpaceDE w:val="0"/>
      <w:autoSpaceDN w:val="0"/>
      <w:snapToGrid w:val="0"/>
      <w:spacing w:after="120" w:line="336" w:lineRule="auto"/>
      <w:ind w:left="1260" w:leftChars="600"/>
      <w:textAlignment w:val="bottom"/>
    </w:pPr>
    <w:rPr>
      <w:rFonts w:ascii="Times_New_Roman" w:hAnsi="Times_New_Roman" w:eastAsia="外交粗仿宋"/>
      <w:kern w:val="0"/>
      <w:sz w:val="32"/>
      <w:szCs w:val="20"/>
    </w:rPr>
  </w:style>
  <w:style w:type="paragraph" w:styleId="83">
    <w:name w:val="index 2"/>
    <w:basedOn w:val="1"/>
    <w:next w:val="1"/>
    <w:semiHidden/>
    <w:qFormat/>
    <w:uiPriority w:val="0"/>
    <w:pPr>
      <w:overflowPunct w:val="0"/>
      <w:autoSpaceDE w:val="0"/>
      <w:autoSpaceDN w:val="0"/>
      <w:snapToGrid w:val="0"/>
      <w:spacing w:line="336" w:lineRule="auto"/>
      <w:ind w:left="200" w:leftChars="200"/>
      <w:textAlignment w:val="bottom"/>
    </w:pPr>
    <w:rPr>
      <w:rFonts w:ascii="Times_New_Roman" w:hAnsi="Times_New_Roman" w:eastAsia="外交粗仿宋"/>
      <w:kern w:val="0"/>
      <w:sz w:val="32"/>
      <w:szCs w:val="20"/>
    </w:rPr>
  </w:style>
  <w:style w:type="paragraph" w:styleId="84">
    <w:name w:val="Title"/>
    <w:basedOn w:val="1"/>
    <w:next w:val="1"/>
    <w:link w:val="180"/>
    <w:qFormat/>
    <w:uiPriority w:val="0"/>
    <w:pPr>
      <w:spacing w:before="240" w:after="60"/>
      <w:jc w:val="center"/>
      <w:outlineLvl w:val="0"/>
    </w:pPr>
    <w:rPr>
      <w:rFonts w:ascii="Cambria" w:hAnsi="Cambria" w:eastAsia="仿宋_GB2312"/>
      <w:b/>
      <w:bCs/>
      <w:sz w:val="32"/>
      <w:szCs w:val="32"/>
    </w:rPr>
  </w:style>
  <w:style w:type="paragraph" w:styleId="85">
    <w:name w:val="annotation subject"/>
    <w:basedOn w:val="28"/>
    <w:next w:val="28"/>
    <w:link w:val="125"/>
    <w:qFormat/>
    <w:uiPriority w:val="0"/>
    <w:rPr>
      <w:b/>
      <w:bCs/>
      <w:szCs w:val="24"/>
    </w:rPr>
  </w:style>
  <w:style w:type="paragraph" w:styleId="86">
    <w:name w:val="Body Text First Indent"/>
    <w:basedOn w:val="1"/>
    <w:link w:val="207"/>
    <w:qFormat/>
    <w:uiPriority w:val="0"/>
    <w:pPr>
      <w:ind w:firstLine="420" w:firstLineChars="100"/>
    </w:pPr>
    <w:rPr>
      <w:rFonts w:ascii="Calibri" w:hAnsi="Calibri" w:cs="黑体"/>
    </w:rPr>
  </w:style>
  <w:style w:type="paragraph" w:styleId="87">
    <w:name w:val="Body Text First Indent 2"/>
    <w:basedOn w:val="35"/>
    <w:link w:val="206"/>
    <w:qFormat/>
    <w:uiPriority w:val="0"/>
    <w:pPr>
      <w:overflowPunct w:val="0"/>
      <w:autoSpaceDE w:val="0"/>
      <w:autoSpaceDN w:val="0"/>
      <w:snapToGrid w:val="0"/>
      <w:spacing w:after="120" w:line="336" w:lineRule="auto"/>
      <w:ind w:left="420" w:firstLine="210"/>
      <w:textAlignment w:val="bottom"/>
    </w:pPr>
    <w:rPr>
      <w:rFonts w:ascii="Times_New_Roman" w:hAnsi="Times_New_Roman" w:eastAsia="外交粗仿宋"/>
      <w:sz w:val="32"/>
    </w:r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1">
    <w:name w:val="Colorful List Accent 1"/>
    <w:basedOn w:val="88"/>
    <w:semiHidden/>
    <w:unhideWhenUsed/>
    <w:qFormat/>
    <w:uiPriority w:val="34"/>
    <w:rPr>
      <w:kern w:val="2"/>
      <w:sz w:val="21"/>
      <w:szCs w:val="24"/>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93">
    <w:name w:val="Strong"/>
    <w:qFormat/>
    <w:uiPriority w:val="0"/>
    <w:rPr>
      <w:b/>
      <w:bCs/>
    </w:rPr>
  </w:style>
  <w:style w:type="character" w:styleId="94">
    <w:name w:val="endnote reference"/>
    <w:semiHidden/>
    <w:qFormat/>
    <w:uiPriority w:val="0"/>
    <w:rPr>
      <w:rFonts w:ascii="Times_New_Roman" w:hAnsi="Times_New_Roman" w:eastAsia="外交粗仿宋"/>
      <w:vertAlign w:val="superscript"/>
    </w:rPr>
  </w:style>
  <w:style w:type="character" w:styleId="95">
    <w:name w:val="page number"/>
    <w:basedOn w:val="92"/>
    <w:qFormat/>
    <w:uiPriority w:val="0"/>
  </w:style>
  <w:style w:type="character" w:styleId="96">
    <w:name w:val="FollowedHyperlink"/>
    <w:qFormat/>
    <w:uiPriority w:val="99"/>
    <w:rPr>
      <w:color w:val="800080"/>
      <w:u w:val="single"/>
    </w:rPr>
  </w:style>
  <w:style w:type="character" w:styleId="97">
    <w:name w:val="Emphasis"/>
    <w:qFormat/>
    <w:uiPriority w:val="0"/>
    <w:rPr>
      <w:i/>
      <w:iCs/>
    </w:rPr>
  </w:style>
  <w:style w:type="character" w:styleId="98">
    <w:name w:val="line number"/>
    <w:semiHidden/>
    <w:qFormat/>
    <w:uiPriority w:val="0"/>
    <w:rPr>
      <w:rFonts w:ascii="Times_New_Roman" w:hAnsi="Times_New_Roman" w:eastAsia="外交粗仿宋"/>
    </w:rPr>
  </w:style>
  <w:style w:type="character" w:styleId="99">
    <w:name w:val="HTML Definition"/>
    <w:semiHidden/>
    <w:qFormat/>
    <w:uiPriority w:val="0"/>
    <w:rPr>
      <w:rFonts w:ascii="Times_New_Roman" w:hAnsi="Times_New_Roman" w:eastAsia="外交粗仿宋"/>
      <w:i/>
      <w:iCs/>
    </w:rPr>
  </w:style>
  <w:style w:type="character" w:styleId="100">
    <w:name w:val="HTML Typewriter"/>
    <w:semiHidden/>
    <w:qFormat/>
    <w:uiPriority w:val="0"/>
    <w:rPr>
      <w:rFonts w:ascii="Times_New_Roman" w:hAnsi="Times_New_Roman" w:eastAsia="外交粗仿宋" w:cs="Courier New"/>
      <w:sz w:val="20"/>
      <w:szCs w:val="20"/>
    </w:rPr>
  </w:style>
  <w:style w:type="character" w:styleId="101">
    <w:name w:val="HTML Acronym"/>
    <w:semiHidden/>
    <w:qFormat/>
    <w:uiPriority w:val="0"/>
    <w:rPr>
      <w:rFonts w:ascii="Times_New_Roman" w:hAnsi="Times_New_Roman" w:eastAsia="外交粗仿宋"/>
    </w:rPr>
  </w:style>
  <w:style w:type="character" w:styleId="102">
    <w:name w:val="HTML Variable"/>
    <w:semiHidden/>
    <w:qFormat/>
    <w:uiPriority w:val="0"/>
    <w:rPr>
      <w:rFonts w:ascii="Times_New_Roman" w:hAnsi="Times_New_Roman" w:eastAsia="外交粗仿宋"/>
      <w:i/>
      <w:iCs/>
    </w:rPr>
  </w:style>
  <w:style w:type="character" w:styleId="103">
    <w:name w:val="Hyperlink"/>
    <w:qFormat/>
    <w:uiPriority w:val="99"/>
    <w:rPr>
      <w:color w:val="0000FF"/>
      <w:u w:val="single"/>
    </w:rPr>
  </w:style>
  <w:style w:type="character" w:styleId="104">
    <w:name w:val="HTML Code"/>
    <w:semiHidden/>
    <w:qFormat/>
    <w:uiPriority w:val="0"/>
    <w:rPr>
      <w:rFonts w:ascii="Times_New_Roman" w:hAnsi="Times_New_Roman" w:eastAsia="外交粗仿宋" w:cs="Courier New"/>
      <w:sz w:val="20"/>
      <w:szCs w:val="20"/>
    </w:rPr>
  </w:style>
  <w:style w:type="character" w:styleId="105">
    <w:name w:val="annotation reference"/>
    <w:qFormat/>
    <w:uiPriority w:val="99"/>
    <w:rPr>
      <w:sz w:val="21"/>
      <w:szCs w:val="21"/>
    </w:rPr>
  </w:style>
  <w:style w:type="character" w:styleId="106">
    <w:name w:val="HTML Cite"/>
    <w:semiHidden/>
    <w:qFormat/>
    <w:uiPriority w:val="0"/>
    <w:rPr>
      <w:rFonts w:ascii="Times_New_Roman" w:hAnsi="Times_New_Roman" w:eastAsia="外交粗仿宋"/>
      <w:i/>
      <w:iCs/>
    </w:rPr>
  </w:style>
  <w:style w:type="character" w:styleId="107">
    <w:name w:val="footnote reference"/>
    <w:unhideWhenUsed/>
    <w:qFormat/>
    <w:uiPriority w:val="0"/>
    <w:rPr>
      <w:vertAlign w:val="superscript"/>
    </w:rPr>
  </w:style>
  <w:style w:type="character" w:styleId="108">
    <w:name w:val="HTML Keyboard"/>
    <w:semiHidden/>
    <w:qFormat/>
    <w:uiPriority w:val="0"/>
    <w:rPr>
      <w:rFonts w:ascii="Times_New_Roman" w:hAnsi="Times_New_Roman" w:eastAsia="外交粗仿宋" w:cs="Courier New"/>
      <w:sz w:val="20"/>
      <w:szCs w:val="20"/>
    </w:rPr>
  </w:style>
  <w:style w:type="character" w:styleId="109">
    <w:name w:val="HTML Sample"/>
    <w:semiHidden/>
    <w:qFormat/>
    <w:uiPriority w:val="0"/>
    <w:rPr>
      <w:rFonts w:ascii="Times_New_Roman" w:hAnsi="Times_New_Roman" w:eastAsia="外交粗仿宋" w:cs="Courier New"/>
    </w:rPr>
  </w:style>
  <w:style w:type="character" w:customStyle="1" w:styleId="110">
    <w:name w:val="标题 1 Char2"/>
    <w:link w:val="3"/>
    <w:qFormat/>
    <w:uiPriority w:val="0"/>
    <w:rPr>
      <w:rFonts w:ascii="黑体" w:hAnsi="宋体" w:eastAsia="黑体" w:cs="Arial"/>
      <w:bCs/>
      <w:color w:val="000000"/>
      <w:w w:val="80"/>
      <w:kern w:val="2"/>
      <w:sz w:val="36"/>
      <w:szCs w:val="36"/>
    </w:rPr>
  </w:style>
  <w:style w:type="character" w:customStyle="1" w:styleId="111">
    <w:name w:val="标题 2 Char"/>
    <w:link w:val="4"/>
    <w:qFormat/>
    <w:locked/>
    <w:uiPriority w:val="99"/>
    <w:rPr>
      <w:rFonts w:ascii="Arial" w:hAnsi="Arial" w:eastAsia="黑体"/>
      <w:b/>
      <w:bCs/>
      <w:kern w:val="2"/>
      <w:sz w:val="32"/>
      <w:szCs w:val="32"/>
    </w:rPr>
  </w:style>
  <w:style w:type="character" w:customStyle="1" w:styleId="112">
    <w:name w:val="标题 3 Char2"/>
    <w:link w:val="5"/>
    <w:qFormat/>
    <w:uiPriority w:val="0"/>
    <w:rPr>
      <w:rFonts w:ascii="Arial" w:hAnsi="Arial" w:eastAsia="黑体"/>
      <w:kern w:val="2"/>
      <w:sz w:val="24"/>
      <w:szCs w:val="24"/>
    </w:rPr>
  </w:style>
  <w:style w:type="character" w:customStyle="1" w:styleId="113">
    <w:name w:val="标题 4 Char"/>
    <w:link w:val="7"/>
    <w:qFormat/>
    <w:locked/>
    <w:uiPriority w:val="0"/>
    <w:rPr>
      <w:sz w:val="28"/>
      <w:szCs w:val="24"/>
    </w:rPr>
  </w:style>
  <w:style w:type="character" w:customStyle="1" w:styleId="114">
    <w:name w:val="标题 5 Char"/>
    <w:link w:val="8"/>
    <w:qFormat/>
    <w:locked/>
    <w:uiPriority w:val="0"/>
    <w:rPr>
      <w:b/>
      <w:sz w:val="28"/>
    </w:rPr>
  </w:style>
  <w:style w:type="character" w:customStyle="1" w:styleId="115">
    <w:name w:val="标题 6 Char"/>
    <w:link w:val="9"/>
    <w:qFormat/>
    <w:locked/>
    <w:uiPriority w:val="0"/>
    <w:rPr>
      <w:rFonts w:ascii="Arial" w:hAnsi="Arial" w:eastAsia="黑体"/>
      <w:b/>
      <w:sz w:val="24"/>
    </w:rPr>
  </w:style>
  <w:style w:type="character" w:customStyle="1" w:styleId="116">
    <w:name w:val="标题 7 Char"/>
    <w:link w:val="10"/>
    <w:qFormat/>
    <w:locked/>
    <w:uiPriority w:val="0"/>
    <w:rPr>
      <w:b/>
      <w:sz w:val="24"/>
    </w:rPr>
  </w:style>
  <w:style w:type="character" w:customStyle="1" w:styleId="117">
    <w:name w:val="标题 8 Char"/>
    <w:link w:val="11"/>
    <w:qFormat/>
    <w:locked/>
    <w:uiPriority w:val="9"/>
    <w:rPr>
      <w:rFonts w:ascii="Arial" w:hAnsi="Arial" w:eastAsia="黑体"/>
      <w:sz w:val="24"/>
    </w:rPr>
  </w:style>
  <w:style w:type="character" w:customStyle="1" w:styleId="118">
    <w:name w:val="标题 9 Char"/>
    <w:link w:val="12"/>
    <w:qFormat/>
    <w:locked/>
    <w:uiPriority w:val="9"/>
    <w:rPr>
      <w:rFonts w:ascii="Arial" w:hAnsi="Arial" w:eastAsia="黑体"/>
      <w:sz w:val="21"/>
    </w:rPr>
  </w:style>
  <w:style w:type="character" w:customStyle="1" w:styleId="119">
    <w:name w:val="访问过的超链接1"/>
    <w:qFormat/>
    <w:uiPriority w:val="99"/>
    <w:rPr>
      <w:color w:val="800080"/>
      <w:u w:val="single"/>
    </w:rPr>
  </w:style>
  <w:style w:type="character" w:customStyle="1" w:styleId="120">
    <w:name w:val="批注框文本 Char"/>
    <w:link w:val="54"/>
    <w:qFormat/>
    <w:uiPriority w:val="99"/>
    <w:rPr>
      <w:kern w:val="2"/>
      <w:sz w:val="18"/>
      <w:szCs w:val="18"/>
    </w:rPr>
  </w:style>
  <w:style w:type="character" w:customStyle="1" w:styleId="121">
    <w:name w:val="纯文本 Char1"/>
    <w:link w:val="45"/>
    <w:qFormat/>
    <w:uiPriority w:val="0"/>
    <w:rPr>
      <w:rFonts w:ascii="宋体" w:hAnsi="Courier New" w:cs="Century"/>
      <w:kern w:val="2"/>
      <w:sz w:val="21"/>
      <w:szCs w:val="21"/>
    </w:rPr>
  </w:style>
  <w:style w:type="character" w:customStyle="1" w:styleId="122">
    <w:name w:val="页脚 Char1"/>
    <w:link w:val="55"/>
    <w:qFormat/>
    <w:uiPriority w:val="99"/>
    <w:rPr>
      <w:rFonts w:eastAsia="宋体"/>
      <w:kern w:val="2"/>
      <w:sz w:val="18"/>
      <w:szCs w:val="24"/>
      <w:lang w:val="en-US" w:eastAsia="zh-CN" w:bidi="ar-SA"/>
    </w:rPr>
  </w:style>
  <w:style w:type="character" w:customStyle="1" w:styleId="123">
    <w:name w:val="页眉 Char1"/>
    <w:link w:val="57"/>
    <w:qFormat/>
    <w:uiPriority w:val="0"/>
    <w:rPr>
      <w:rFonts w:eastAsia="宋体"/>
      <w:kern w:val="2"/>
      <w:sz w:val="18"/>
      <w:szCs w:val="24"/>
      <w:lang w:val="en-US" w:eastAsia="zh-CN" w:bidi="ar-SA"/>
    </w:rPr>
  </w:style>
  <w:style w:type="character" w:customStyle="1" w:styleId="124">
    <w:name w:val="批注文字 Char1"/>
    <w:link w:val="28"/>
    <w:qFormat/>
    <w:uiPriority w:val="99"/>
    <w:rPr>
      <w:kern w:val="2"/>
      <w:sz w:val="21"/>
    </w:rPr>
  </w:style>
  <w:style w:type="character" w:customStyle="1" w:styleId="125">
    <w:name w:val="批注主题 Char1"/>
    <w:link w:val="85"/>
    <w:qFormat/>
    <w:uiPriority w:val="0"/>
    <w:rPr>
      <w:b/>
      <w:bCs/>
      <w:kern w:val="2"/>
      <w:sz w:val="21"/>
      <w:szCs w:val="24"/>
    </w:rPr>
  </w:style>
  <w:style w:type="character" w:customStyle="1" w:styleId="126">
    <w:name w:val="文档结构图 Char"/>
    <w:link w:val="26"/>
    <w:qFormat/>
    <w:uiPriority w:val="99"/>
    <w:rPr>
      <w:rFonts w:ascii="宋体"/>
      <w:kern w:val="2"/>
      <w:sz w:val="18"/>
      <w:szCs w:val="18"/>
    </w:rPr>
  </w:style>
  <w:style w:type="character" w:customStyle="1" w:styleId="127">
    <w:name w:val="日期 Char1"/>
    <w:link w:val="50"/>
    <w:qFormat/>
    <w:uiPriority w:val="99"/>
    <w:rPr>
      <w:rFonts w:ascii="Arial" w:hAnsi="Arial" w:eastAsia="黑体"/>
      <w:kern w:val="2"/>
      <w:sz w:val="28"/>
      <w:szCs w:val="24"/>
    </w:rPr>
  </w:style>
  <w:style w:type="character" w:customStyle="1" w:styleId="128">
    <w:name w:val="称呼 Char"/>
    <w:link w:val="30"/>
    <w:qFormat/>
    <w:uiPriority w:val="0"/>
    <w:rPr>
      <w:rFonts w:ascii="楷体_GB2312" w:eastAsia="楷体_GB2312"/>
      <w:kern w:val="2"/>
      <w:sz w:val="24"/>
      <w:szCs w:val="24"/>
    </w:rPr>
  </w:style>
  <w:style w:type="character" w:customStyle="1" w:styleId="129">
    <w:name w:val="正文文本缩进 Char1"/>
    <w:link w:val="35"/>
    <w:qFormat/>
    <w:uiPriority w:val="0"/>
    <w:rPr>
      <w:kern w:val="2"/>
      <w:sz w:val="21"/>
      <w:szCs w:val="24"/>
    </w:rPr>
  </w:style>
  <w:style w:type="character" w:customStyle="1" w:styleId="130">
    <w:name w:val="脚注文本 Char1"/>
    <w:link w:val="67"/>
    <w:qFormat/>
    <w:uiPriority w:val="0"/>
    <w:rPr>
      <w:rFonts w:ascii="Calibri" w:hAnsi="Calibri"/>
      <w:kern w:val="2"/>
      <w:sz w:val="18"/>
      <w:szCs w:val="18"/>
    </w:rPr>
  </w:style>
  <w:style w:type="character" w:customStyle="1" w:styleId="131">
    <w:name w:val="列出段落 Char"/>
    <w:link w:val="132"/>
    <w:qFormat/>
    <w:uiPriority w:val="34"/>
    <w:rPr>
      <w:kern w:val="2"/>
      <w:sz w:val="21"/>
      <w:szCs w:val="24"/>
    </w:rPr>
  </w:style>
  <w:style w:type="paragraph" w:styleId="132">
    <w:name w:val="List Paragraph"/>
    <w:basedOn w:val="1"/>
    <w:link w:val="131"/>
    <w:qFormat/>
    <w:uiPriority w:val="1"/>
    <w:pPr>
      <w:ind w:firstLine="420" w:firstLineChars="200"/>
    </w:pPr>
  </w:style>
  <w:style w:type="character" w:customStyle="1" w:styleId="133">
    <w:name w:val="正文文本缩进 3 Char"/>
    <w:link w:val="70"/>
    <w:qFormat/>
    <w:uiPriority w:val="0"/>
    <w:rPr>
      <w:rFonts w:ascii="Courier New" w:hAnsi="Courier New"/>
      <w:kern w:val="2"/>
      <w:sz w:val="21"/>
      <w:szCs w:val="24"/>
    </w:rPr>
  </w:style>
  <w:style w:type="paragraph" w:customStyle="1" w:styleId="13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35">
    <w:name w:val="带符号"/>
    <w:basedOn w:val="1"/>
    <w:qFormat/>
    <w:uiPriority w:val="0"/>
    <w:pPr>
      <w:tabs>
        <w:tab w:val="left" w:pos="1500"/>
      </w:tabs>
      <w:spacing w:line="360" w:lineRule="auto"/>
      <w:ind w:left="1500" w:hanging="420"/>
    </w:pPr>
    <w:rPr>
      <w:sz w:val="24"/>
    </w:rPr>
  </w:style>
  <w:style w:type="paragraph" w:customStyle="1" w:styleId="136">
    <w:name w:val="首行缩进(A-S-1)"/>
    <w:qFormat/>
    <w:uiPriority w:val="0"/>
    <w:pPr>
      <w:spacing w:line="360" w:lineRule="auto"/>
      <w:ind w:firstLine="454"/>
    </w:pPr>
    <w:rPr>
      <w:rFonts w:ascii="Times New Roman" w:hAnsi="Times New Roman" w:eastAsia="宋体" w:cs="Times New Roman"/>
      <w:sz w:val="24"/>
      <w:lang w:val="en-US" w:eastAsia="zh-CN" w:bidi="ar-SA"/>
    </w:rPr>
  </w:style>
  <w:style w:type="paragraph" w:customStyle="1" w:styleId="137">
    <w:name w:val="Char Char Char1 Char Char Char Char"/>
    <w:basedOn w:val="1"/>
    <w:qFormat/>
    <w:uiPriority w:val="0"/>
    <w:rPr>
      <w:rFonts w:ascii="Tahoma" w:hAnsi="Tahoma"/>
      <w:sz w:val="24"/>
      <w:szCs w:val="20"/>
    </w:rPr>
  </w:style>
  <w:style w:type="paragraph" w:customStyle="1" w:styleId="138">
    <w:name w:val="p0"/>
    <w:basedOn w:val="1"/>
    <w:qFormat/>
    <w:uiPriority w:val="0"/>
    <w:pPr>
      <w:widowControl/>
    </w:pPr>
    <w:rPr>
      <w:kern w:val="0"/>
      <w:szCs w:val="21"/>
    </w:rPr>
  </w:style>
  <w:style w:type="character" w:customStyle="1" w:styleId="139">
    <w:name w:val="正文文本缩进 2 Char"/>
    <w:link w:val="51"/>
    <w:qFormat/>
    <w:locked/>
    <w:uiPriority w:val="99"/>
    <w:rPr>
      <w:rFonts w:ascii="宋体"/>
      <w:kern w:val="2"/>
      <w:sz w:val="24"/>
      <w:szCs w:val="24"/>
    </w:rPr>
  </w:style>
  <w:style w:type="paragraph" w:customStyle="1" w:styleId="140">
    <w:name w:val="Char Char Char"/>
    <w:basedOn w:val="1"/>
    <w:qFormat/>
    <w:uiPriority w:val="0"/>
    <w:rPr>
      <w:rFonts w:ascii="Tahoma" w:hAnsi="Tahoma"/>
      <w:sz w:val="24"/>
      <w:szCs w:val="20"/>
    </w:rPr>
  </w:style>
  <w:style w:type="paragraph" w:customStyle="1" w:styleId="141">
    <w:name w:val="Number List"/>
    <w:basedOn w:val="1"/>
    <w:qFormat/>
    <w:uiPriority w:val="0"/>
    <w:pPr>
      <w:autoSpaceDE w:val="0"/>
      <w:autoSpaceDN w:val="0"/>
      <w:adjustRightInd w:val="0"/>
      <w:ind w:left="360" w:hanging="360"/>
      <w:jc w:val="left"/>
    </w:pPr>
    <w:rPr>
      <w:kern w:val="0"/>
      <w:sz w:val="24"/>
      <w:szCs w:val="20"/>
    </w:rPr>
  </w:style>
  <w:style w:type="character" w:customStyle="1" w:styleId="142">
    <w:name w:val="副标题 Char"/>
    <w:link w:val="64"/>
    <w:qFormat/>
    <w:uiPriority w:val="0"/>
    <w:rPr>
      <w:rFonts w:ascii="Cambria" w:hAnsi="Cambria"/>
      <w:b/>
      <w:bCs/>
      <w:kern w:val="28"/>
      <w:sz w:val="32"/>
      <w:szCs w:val="32"/>
    </w:rPr>
  </w:style>
  <w:style w:type="paragraph" w:customStyle="1" w:styleId="143">
    <w:name w:val="批注框文本1"/>
    <w:basedOn w:val="1"/>
    <w:qFormat/>
    <w:uiPriority w:val="0"/>
    <w:rPr>
      <w:sz w:val="18"/>
      <w:szCs w:val="18"/>
    </w:rPr>
  </w:style>
  <w:style w:type="paragraph" w:customStyle="1" w:styleId="144">
    <w:name w:val="普通 (Web)"/>
    <w:basedOn w:val="1"/>
    <w:qFormat/>
    <w:uiPriority w:val="0"/>
    <w:pPr>
      <w:widowControl/>
      <w:spacing w:before="100" w:after="100"/>
      <w:jc w:val="left"/>
    </w:pPr>
    <w:rPr>
      <w:rFonts w:ascii="宋体" w:hAnsi="宋体"/>
      <w:kern w:val="0"/>
      <w:sz w:val="24"/>
    </w:rPr>
  </w:style>
  <w:style w:type="paragraph" w:customStyle="1" w:styleId="14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6">
    <w:name w:val="项目"/>
    <w:basedOn w:val="1"/>
    <w:qFormat/>
    <w:uiPriority w:val="0"/>
    <w:pPr>
      <w:widowControl/>
      <w:tabs>
        <w:tab w:val="left" w:pos="780"/>
      </w:tabs>
      <w:spacing w:after="156" w:line="360" w:lineRule="exact"/>
      <w:ind w:left="250" w:firstLine="170"/>
      <w:jc w:val="left"/>
    </w:pPr>
    <w:rPr>
      <w:rFonts w:ascii="宋体" w:hAnsi="宋体"/>
      <w:kern w:val="0"/>
      <w:sz w:val="24"/>
    </w:rPr>
  </w:style>
  <w:style w:type="paragraph" w:customStyle="1" w:styleId="147">
    <w:name w:val="项目2"/>
    <w:basedOn w:val="1"/>
    <w:qFormat/>
    <w:uiPriority w:val="0"/>
    <w:pPr>
      <w:widowControl/>
      <w:tabs>
        <w:tab w:val="left" w:pos="720"/>
      </w:tabs>
      <w:spacing w:after="50" w:line="360" w:lineRule="auto"/>
      <w:ind w:right="240" w:firstLine="360"/>
      <w:jc w:val="left"/>
    </w:pPr>
    <w:rPr>
      <w:rFonts w:ascii="宋体"/>
      <w:kern w:val="0"/>
      <w:sz w:val="24"/>
    </w:rPr>
  </w:style>
  <w:style w:type="paragraph" w:customStyle="1" w:styleId="148">
    <w:name w:val="图文"/>
    <w:basedOn w:val="1"/>
    <w:qFormat/>
    <w:uiPriority w:val="0"/>
    <w:pPr>
      <w:adjustRightInd w:val="0"/>
      <w:snapToGrid w:val="0"/>
      <w:spacing w:after="50" w:line="360" w:lineRule="auto"/>
    </w:pPr>
    <w:rPr>
      <w:sz w:val="24"/>
    </w:rPr>
  </w:style>
  <w:style w:type="paragraph" w:customStyle="1" w:styleId="149">
    <w:name w:val="黑列表"/>
    <w:basedOn w:val="1"/>
    <w:qFormat/>
    <w:uiPriority w:val="0"/>
    <w:pPr>
      <w:widowControl/>
      <w:tabs>
        <w:tab w:val="left" w:pos="482"/>
        <w:tab w:val="left" w:pos="960"/>
      </w:tabs>
      <w:adjustRightInd w:val="0"/>
      <w:spacing w:line="300" w:lineRule="auto"/>
      <w:ind w:left="840" w:hanging="240"/>
      <w:jc w:val="left"/>
    </w:pPr>
    <w:rPr>
      <w:kern w:val="0"/>
      <w:sz w:val="24"/>
      <w:szCs w:val="20"/>
    </w:rPr>
  </w:style>
  <w:style w:type="paragraph" w:customStyle="1" w:styleId="150">
    <w:name w:val="表格文字"/>
    <w:basedOn w:val="1"/>
    <w:qFormat/>
    <w:uiPriority w:val="0"/>
    <w:pPr>
      <w:snapToGrid w:val="0"/>
      <w:spacing w:before="120"/>
    </w:pPr>
    <w:rPr>
      <w:szCs w:val="20"/>
    </w:rPr>
  </w:style>
  <w:style w:type="paragraph" w:customStyle="1" w:styleId="151">
    <w:name w:val="Char Char Char Char Char Char Char Char"/>
    <w:basedOn w:val="1"/>
    <w:qFormat/>
    <w:uiPriority w:val="0"/>
  </w:style>
  <w:style w:type="paragraph" w:customStyle="1" w:styleId="152">
    <w:name w:val="TOC 标题1"/>
    <w:basedOn w:val="3"/>
    <w:next w:val="1"/>
    <w:qFormat/>
    <w:uiPriority w:val="39"/>
    <w:pPr>
      <w:keepNext/>
      <w:keepLines/>
      <w:widowControl/>
      <w:adjustRightInd/>
      <w:snapToGrid/>
      <w:spacing w:before="480" w:line="276" w:lineRule="auto"/>
      <w:jc w:val="left"/>
      <w:outlineLvl w:val="9"/>
    </w:pPr>
    <w:rPr>
      <w:rFonts w:ascii="Cambria" w:hAnsi="Cambria" w:eastAsia="宋体"/>
      <w:b/>
      <w:color w:val="365F91"/>
      <w:w w:val="100"/>
      <w:kern w:val="0"/>
      <w:sz w:val="28"/>
      <w:szCs w:val="28"/>
    </w:rPr>
  </w:style>
  <w:style w:type="paragraph" w:customStyle="1" w:styleId="153">
    <w:name w:val="Char Char Char1"/>
    <w:basedOn w:val="1"/>
    <w:qFormat/>
    <w:uiPriority w:val="0"/>
    <w:rPr>
      <w:rFonts w:ascii="Tahoma" w:hAnsi="Tahoma"/>
      <w:sz w:val="24"/>
      <w:szCs w:val="20"/>
    </w:rPr>
  </w:style>
  <w:style w:type="paragraph" w:customStyle="1" w:styleId="154">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paragraph" w:customStyle="1" w:styleId="155">
    <w:name w:val="标一"/>
    <w:basedOn w:val="3"/>
    <w:qFormat/>
    <w:uiPriority w:val="0"/>
    <w:pPr>
      <w:keepNext/>
      <w:keepLines/>
      <w:adjustRightInd/>
      <w:spacing w:line="420" w:lineRule="exact"/>
      <w:jc w:val="both"/>
    </w:pPr>
    <w:rPr>
      <w:rFonts w:ascii="宋体" w:eastAsia="宋体"/>
      <w:bCs w:val="0"/>
      <w:snapToGrid w:val="0"/>
      <w:color w:val="auto"/>
      <w:w w:val="100"/>
      <w:kern w:val="0"/>
      <w:sz w:val="24"/>
      <w:szCs w:val="20"/>
    </w:rPr>
  </w:style>
  <w:style w:type="paragraph" w:customStyle="1" w:styleId="1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7">
    <w:name w:val="文档正文"/>
    <w:basedOn w:val="1"/>
    <w:qFormat/>
    <w:uiPriority w:val="0"/>
    <w:pPr>
      <w:spacing w:line="360" w:lineRule="auto"/>
    </w:pPr>
    <w:rPr>
      <w:rFonts w:ascii="宋体" w:hAnsi="宋体" w:cs="Arial"/>
      <w:b/>
      <w:bCs/>
      <w:szCs w:val="21"/>
    </w:rPr>
  </w:style>
  <w:style w:type="paragraph" w:customStyle="1" w:styleId="158">
    <w:name w:val="样式2"/>
    <w:basedOn w:val="1"/>
    <w:link w:val="258"/>
    <w:qFormat/>
    <w:uiPriority w:val="0"/>
    <w:pPr>
      <w:spacing w:line="300" w:lineRule="auto"/>
      <w:jc w:val="center"/>
      <w:outlineLvl w:val="0"/>
    </w:pPr>
    <w:rPr>
      <w:b/>
      <w:sz w:val="24"/>
      <w:szCs w:val="20"/>
    </w:rPr>
  </w:style>
  <w:style w:type="paragraph" w:customStyle="1" w:styleId="159">
    <w:name w:val="Char Char Char Char Char Char"/>
    <w:basedOn w:val="1"/>
    <w:qFormat/>
    <w:uiPriority w:val="0"/>
    <w:pPr>
      <w:adjustRightInd w:val="0"/>
      <w:spacing w:line="360" w:lineRule="auto"/>
    </w:pPr>
    <w:rPr>
      <w:kern w:val="0"/>
      <w:sz w:val="24"/>
      <w:szCs w:val="20"/>
    </w:rPr>
  </w:style>
  <w:style w:type="paragraph" w:customStyle="1" w:styleId="160">
    <w:name w:val="我的征文"/>
    <w:basedOn w:val="1"/>
    <w:qFormat/>
    <w:uiPriority w:val="0"/>
    <w:pPr>
      <w:tabs>
        <w:tab w:val="left" w:pos="851"/>
      </w:tabs>
      <w:spacing w:before="360" w:after="360"/>
      <w:ind w:left="851" w:right="113" w:hanging="851"/>
    </w:pPr>
    <w:rPr>
      <w:szCs w:val="20"/>
    </w:rPr>
  </w:style>
  <w:style w:type="paragraph" w:customStyle="1" w:styleId="161">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162">
    <w:name w:val="Body"/>
    <w:basedOn w:val="1"/>
    <w:qFormat/>
    <w:uiPriority w:val="0"/>
    <w:pPr>
      <w:widowControl/>
      <w:spacing w:after="260" w:line="260" w:lineRule="atLeast"/>
    </w:pPr>
    <w:rPr>
      <w:kern w:val="0"/>
      <w:sz w:val="24"/>
      <w:szCs w:val="20"/>
      <w:lang w:val="en-GB" w:eastAsia="en-US"/>
    </w:rPr>
  </w:style>
  <w:style w:type="paragraph" w:customStyle="1" w:styleId="163">
    <w:name w:val="Opening Salutation"/>
    <w:basedOn w:val="1"/>
    <w:qFormat/>
    <w:uiPriority w:val="0"/>
    <w:pPr>
      <w:widowControl/>
      <w:spacing w:after="260"/>
    </w:pPr>
    <w:rPr>
      <w:kern w:val="0"/>
      <w:sz w:val="24"/>
      <w:szCs w:val="20"/>
      <w:lang w:val="en-GB" w:eastAsia="en-US"/>
    </w:rPr>
  </w:style>
  <w:style w:type="paragraph" w:customStyle="1" w:styleId="164">
    <w:name w:val="No. list"/>
    <w:basedOn w:val="1"/>
    <w:qFormat/>
    <w:uiPriority w:val="0"/>
    <w:pPr>
      <w:widowControl/>
      <w:tabs>
        <w:tab w:val="left" w:pos="1500"/>
      </w:tabs>
      <w:spacing w:after="120"/>
      <w:ind w:left="1500" w:hanging="420"/>
    </w:pPr>
    <w:rPr>
      <w:kern w:val="0"/>
      <w:sz w:val="24"/>
      <w:szCs w:val="20"/>
      <w:lang w:val="en-GB" w:eastAsia="en-US"/>
    </w:rPr>
  </w:style>
  <w:style w:type="paragraph" w:customStyle="1" w:styleId="165">
    <w:name w:val="seg"/>
    <w:basedOn w:val="1"/>
    <w:qFormat/>
    <w:uiPriority w:val="0"/>
    <w:pPr>
      <w:ind w:left="851" w:hanging="851"/>
    </w:pPr>
    <w:rPr>
      <w:color w:val="000000"/>
      <w:kern w:val="0"/>
      <w:sz w:val="24"/>
      <w:szCs w:val="20"/>
      <w:lang w:eastAsia="pt-BR"/>
    </w:rPr>
  </w:style>
  <w:style w:type="character" w:customStyle="1" w:styleId="166">
    <w:name w:val="纯文本 Char"/>
    <w:qFormat/>
    <w:uiPriority w:val="0"/>
    <w:rPr>
      <w:rFonts w:ascii="宋体" w:hAnsi="Courier New"/>
      <w:kern w:val="2"/>
      <w:sz w:val="21"/>
      <w:szCs w:val="21"/>
    </w:rPr>
  </w:style>
  <w:style w:type="paragraph" w:customStyle="1" w:styleId="167">
    <w:name w:val="纯文本2"/>
    <w:basedOn w:val="1"/>
    <w:qFormat/>
    <w:uiPriority w:val="0"/>
    <w:rPr>
      <w:rFonts w:ascii="宋体" w:hAnsi="Courier New" w:cs="Courier New"/>
      <w:szCs w:val="21"/>
    </w:rPr>
  </w:style>
  <w:style w:type="character" w:customStyle="1" w:styleId="168">
    <w:name w:val="页脚 Char"/>
    <w:qFormat/>
    <w:uiPriority w:val="99"/>
    <w:rPr>
      <w:kern w:val="2"/>
      <w:sz w:val="18"/>
      <w:szCs w:val="18"/>
    </w:rPr>
  </w:style>
  <w:style w:type="character" w:customStyle="1" w:styleId="169">
    <w:name w:val="标题 1 Char"/>
    <w:qFormat/>
    <w:locked/>
    <w:uiPriority w:val="9"/>
    <w:rPr>
      <w:b/>
      <w:bCs/>
      <w:kern w:val="44"/>
      <w:sz w:val="44"/>
      <w:szCs w:val="44"/>
    </w:rPr>
  </w:style>
  <w:style w:type="character" w:customStyle="1" w:styleId="170">
    <w:name w:val="标题 3 Char"/>
    <w:qFormat/>
    <w:locked/>
    <w:uiPriority w:val="9"/>
    <w:rPr>
      <w:b/>
      <w:bCs/>
      <w:kern w:val="2"/>
      <w:sz w:val="32"/>
      <w:szCs w:val="32"/>
    </w:rPr>
  </w:style>
  <w:style w:type="character" w:customStyle="1" w:styleId="171">
    <w:name w:val="页眉 Char"/>
    <w:qFormat/>
    <w:locked/>
    <w:uiPriority w:val="99"/>
    <w:rPr>
      <w:rFonts w:cs="Times New Roman"/>
      <w:kern w:val="2"/>
      <w:sz w:val="18"/>
      <w:szCs w:val="18"/>
    </w:rPr>
  </w:style>
  <w:style w:type="character" w:customStyle="1" w:styleId="172">
    <w:name w:val="批注文字 Char"/>
    <w:qFormat/>
    <w:locked/>
    <w:uiPriority w:val="99"/>
    <w:rPr>
      <w:rFonts w:cs="Times New Roman"/>
      <w:kern w:val="2"/>
      <w:sz w:val="24"/>
      <w:szCs w:val="24"/>
    </w:rPr>
  </w:style>
  <w:style w:type="character" w:customStyle="1" w:styleId="173">
    <w:name w:val="批注主题 Char"/>
    <w:qFormat/>
    <w:locked/>
    <w:uiPriority w:val="99"/>
    <w:rPr>
      <w:rFonts w:cs="Times New Roman"/>
      <w:b/>
      <w:bCs/>
      <w:kern w:val="2"/>
      <w:sz w:val="24"/>
      <w:szCs w:val="24"/>
    </w:rPr>
  </w:style>
  <w:style w:type="character" w:customStyle="1" w:styleId="174">
    <w:name w:val="正文文本缩进 Char"/>
    <w:qFormat/>
    <w:locked/>
    <w:uiPriority w:val="99"/>
    <w:rPr>
      <w:rFonts w:ascii="仿宋_GB2312" w:eastAsia="仿宋_GB2312" w:cs="Times New Roman"/>
      <w:kern w:val="2"/>
      <w:sz w:val="32"/>
    </w:rPr>
  </w:style>
  <w:style w:type="paragraph" w:customStyle="1" w:styleId="175">
    <w:name w:val="xl24"/>
    <w:basedOn w:val="1"/>
    <w:qFormat/>
    <w:uiPriority w:val="0"/>
    <w:pPr>
      <w:widowControl/>
      <w:spacing w:before="100" w:beforeAutospacing="1" w:after="100" w:afterAutospacing="1"/>
      <w:jc w:val="center"/>
      <w:textAlignment w:val="center"/>
    </w:pPr>
    <w:rPr>
      <w:rFonts w:ascii="宋体" w:hAnsi="宋体" w:eastAsia="仿宋_GB2312"/>
      <w:kern w:val="0"/>
      <w:sz w:val="24"/>
    </w:rPr>
  </w:style>
  <w:style w:type="paragraph" w:customStyle="1" w:styleId="176">
    <w:name w:val="xl22"/>
    <w:basedOn w:val="1"/>
    <w:qFormat/>
    <w:uiPriority w:val="0"/>
    <w:pPr>
      <w:widowControl/>
      <w:spacing w:before="100" w:beforeAutospacing="1" w:after="100" w:afterAutospacing="1"/>
      <w:jc w:val="center"/>
      <w:textAlignment w:val="center"/>
    </w:pPr>
    <w:rPr>
      <w:rFonts w:ascii="仿宋_GB2312" w:hAnsi="宋体" w:eastAsia="仿宋_GB2312"/>
      <w:kern w:val="0"/>
      <w:sz w:val="28"/>
      <w:szCs w:val="28"/>
    </w:rPr>
  </w:style>
  <w:style w:type="character" w:customStyle="1" w:styleId="177">
    <w:name w:val="日期 Char"/>
    <w:qFormat/>
    <w:locked/>
    <w:uiPriority w:val="99"/>
    <w:rPr>
      <w:rFonts w:ascii="仿宋_GB2312" w:eastAsia="仿宋_GB2312" w:cs="Times New Roman"/>
      <w:kern w:val="2"/>
      <w:sz w:val="32"/>
    </w:rPr>
  </w:style>
  <w:style w:type="paragraph" w:customStyle="1" w:styleId="178">
    <w:name w:val="EXIM"/>
    <w:qFormat/>
    <w:uiPriority w:val="0"/>
    <w:pPr>
      <w:widowControl w:val="0"/>
      <w:spacing w:line="560" w:lineRule="exact"/>
      <w:ind w:firstLine="616" w:firstLineChars="200"/>
      <w:jc w:val="both"/>
    </w:pPr>
    <w:rPr>
      <w:rFonts w:ascii="仿宋_GB2312" w:hAnsi="Times New Roman" w:eastAsia="仿宋_GB2312" w:cs="Times New Roman"/>
      <w:spacing w:val="-6"/>
      <w:sz w:val="32"/>
      <w:lang w:val="en-US" w:eastAsia="zh-CN" w:bidi="he-IL"/>
    </w:rPr>
  </w:style>
  <w:style w:type="character" w:customStyle="1" w:styleId="179">
    <w:name w:val="脚注文本 Char"/>
    <w:qFormat/>
    <w:uiPriority w:val="0"/>
    <w:rPr>
      <w:kern w:val="2"/>
      <w:sz w:val="18"/>
      <w:szCs w:val="18"/>
    </w:rPr>
  </w:style>
  <w:style w:type="character" w:customStyle="1" w:styleId="180">
    <w:name w:val="标题 Char"/>
    <w:link w:val="84"/>
    <w:qFormat/>
    <w:uiPriority w:val="0"/>
    <w:rPr>
      <w:rFonts w:ascii="Cambria" w:hAnsi="Cambria" w:eastAsia="仿宋_GB2312" w:cs="Times New Roman"/>
      <w:b/>
      <w:bCs/>
      <w:kern w:val="2"/>
      <w:sz w:val="32"/>
      <w:szCs w:val="32"/>
    </w:rPr>
  </w:style>
  <w:style w:type="paragraph" w:customStyle="1" w:styleId="181">
    <w:name w:val="样式4"/>
    <w:basedOn w:val="1"/>
    <w:qFormat/>
    <w:uiPriority w:val="0"/>
    <w:pPr>
      <w:jc w:val="center"/>
      <w:outlineLvl w:val="0"/>
    </w:pPr>
    <w:rPr>
      <w:b/>
      <w:sz w:val="32"/>
      <w:szCs w:val="20"/>
    </w:rPr>
  </w:style>
  <w:style w:type="paragraph" w:customStyle="1" w:styleId="182">
    <w:name w:val="列出段落1"/>
    <w:basedOn w:val="1"/>
    <w:qFormat/>
    <w:uiPriority w:val="0"/>
    <w:pPr>
      <w:ind w:firstLine="420" w:firstLineChars="200"/>
    </w:pPr>
  </w:style>
  <w:style w:type="character" w:customStyle="1" w:styleId="183">
    <w:name w:val="彩色列表 - 着色 1 Char"/>
    <w:qFormat/>
    <w:locked/>
    <w:uiPriority w:val="34"/>
    <w:rPr>
      <w:kern w:val="2"/>
      <w:sz w:val="21"/>
      <w:szCs w:val="24"/>
    </w:rPr>
  </w:style>
  <w:style w:type="character" w:customStyle="1" w:styleId="184">
    <w:name w:val="未处理的提及1"/>
    <w:basedOn w:val="92"/>
    <w:semiHidden/>
    <w:unhideWhenUsed/>
    <w:qFormat/>
    <w:uiPriority w:val="99"/>
    <w:rPr>
      <w:color w:val="605E5C"/>
      <w:shd w:val="clear" w:color="auto" w:fill="E1DFDD"/>
    </w:rPr>
  </w:style>
  <w:style w:type="paragraph" w:customStyle="1" w:styleId="185">
    <w:name w:val="大标题下的概括说明文字"/>
    <w:basedOn w:val="1"/>
    <w:qFormat/>
    <w:uiPriority w:val="0"/>
    <w:pPr>
      <w:numPr>
        <w:ilvl w:val="0"/>
        <w:numId w:val="11"/>
      </w:numPr>
      <w:spacing w:line="360" w:lineRule="auto"/>
    </w:pPr>
    <w:rPr>
      <w:rFonts w:ascii="宋体" w:hAnsi="宋体"/>
      <w:color w:val="000000"/>
      <w:sz w:val="28"/>
      <w:szCs w:val="20"/>
    </w:rPr>
  </w:style>
  <w:style w:type="table" w:customStyle="1" w:styleId="186">
    <w:name w:val="网格型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TableGrid"/>
    <w:qFormat/>
    <w:uiPriority w:val="0"/>
    <w:rPr>
      <w:rFonts w:ascii="Calibri" w:hAnsi="Calibri"/>
      <w:kern w:val="2"/>
      <w:sz w:val="21"/>
      <w:szCs w:val="24"/>
    </w:rPr>
    <w:tblPr>
      <w:tblCellMar>
        <w:top w:w="0" w:type="dxa"/>
        <w:left w:w="0" w:type="dxa"/>
        <w:bottom w:w="0" w:type="dxa"/>
        <w:right w:w="0" w:type="dxa"/>
      </w:tblCellMar>
    </w:tblPr>
  </w:style>
  <w:style w:type="character" w:customStyle="1" w:styleId="188">
    <w:name w:val="未处理的提及2"/>
    <w:basedOn w:val="92"/>
    <w:semiHidden/>
    <w:unhideWhenUsed/>
    <w:qFormat/>
    <w:uiPriority w:val="99"/>
    <w:rPr>
      <w:color w:val="605E5C"/>
      <w:shd w:val="clear" w:color="auto" w:fill="E1DFDD"/>
    </w:rPr>
  </w:style>
  <w:style w:type="character" w:customStyle="1" w:styleId="189">
    <w:name w:val="未处理的提及3"/>
    <w:basedOn w:val="92"/>
    <w:semiHidden/>
    <w:unhideWhenUsed/>
    <w:qFormat/>
    <w:uiPriority w:val="99"/>
    <w:rPr>
      <w:color w:val="605E5C"/>
      <w:shd w:val="clear" w:color="auto" w:fill="E1DFDD"/>
    </w:rPr>
  </w:style>
  <w:style w:type="character" w:customStyle="1" w:styleId="190">
    <w:name w:val="正文缩进 Char"/>
    <w:link w:val="6"/>
    <w:qFormat/>
    <w:uiPriority w:val="0"/>
    <w:rPr>
      <w:kern w:val="2"/>
      <w:sz w:val="21"/>
      <w:szCs w:val="24"/>
    </w:rPr>
  </w:style>
  <w:style w:type="character" w:customStyle="1" w:styleId="191">
    <w:name w:val="标题 3 Char1"/>
    <w:qFormat/>
    <w:uiPriority w:val="0"/>
    <w:rPr>
      <w:rFonts w:ascii="Arial" w:hAnsi="Arial" w:eastAsia="宋体" w:cs="Arial"/>
      <w:b/>
      <w:sz w:val="28"/>
      <w:szCs w:val="20"/>
    </w:rPr>
  </w:style>
  <w:style w:type="character" w:customStyle="1" w:styleId="192">
    <w:name w:val="宏文本 Char"/>
    <w:link w:val="2"/>
    <w:semiHidden/>
    <w:qFormat/>
    <w:uiPriority w:val="0"/>
    <w:rPr>
      <w:rFonts w:ascii="宋体" w:hAnsi="Courier New" w:cs="Courier New"/>
      <w:sz w:val="24"/>
      <w:szCs w:val="24"/>
    </w:rPr>
  </w:style>
  <w:style w:type="character" w:customStyle="1" w:styleId="193">
    <w:name w:val="批注文字 Char2"/>
    <w:qFormat/>
    <w:uiPriority w:val="0"/>
    <w:rPr>
      <w:kern w:val="2"/>
      <w:sz w:val="21"/>
    </w:rPr>
  </w:style>
  <w:style w:type="character" w:customStyle="1" w:styleId="194">
    <w:name w:val="正文文本 Char1"/>
    <w:semiHidden/>
    <w:qFormat/>
    <w:uiPriority w:val="0"/>
    <w:rPr>
      <w:rFonts w:ascii="Calibri" w:hAnsi="Calibri" w:cs="黑体"/>
      <w:kern w:val="2"/>
      <w:sz w:val="24"/>
      <w:szCs w:val="22"/>
    </w:rPr>
  </w:style>
  <w:style w:type="character" w:customStyle="1" w:styleId="195">
    <w:name w:val="HTML 地址 Char"/>
    <w:link w:val="41"/>
    <w:semiHidden/>
    <w:qFormat/>
    <w:uiPriority w:val="0"/>
    <w:rPr>
      <w:rFonts w:ascii="Times_New_Roman" w:hAnsi="Times_New_Roman" w:eastAsia="外交粗仿宋"/>
      <w:i/>
      <w:iCs/>
      <w:sz w:val="32"/>
    </w:rPr>
  </w:style>
  <w:style w:type="character" w:customStyle="1" w:styleId="196">
    <w:name w:val="正文文本 字符"/>
    <w:qFormat/>
    <w:uiPriority w:val="0"/>
    <w:rPr>
      <w:b/>
      <w:i/>
      <w:kern w:val="2"/>
      <w:sz w:val="21"/>
      <w:szCs w:val="24"/>
    </w:rPr>
  </w:style>
  <w:style w:type="character" w:customStyle="1" w:styleId="197">
    <w:name w:val="！alt+i Char"/>
    <w:link w:val="198"/>
    <w:qFormat/>
    <w:uiPriority w:val="0"/>
    <w:rPr>
      <w:rFonts w:ascii="宋体"/>
      <w:b/>
      <w:i/>
      <w:color w:val="000000"/>
      <w:kern w:val="2"/>
      <w:sz w:val="28"/>
      <w:u w:val="single"/>
    </w:rPr>
  </w:style>
  <w:style w:type="paragraph" w:customStyle="1" w:styleId="198">
    <w:name w:val="！alt+i"/>
    <w:basedOn w:val="199"/>
    <w:link w:val="197"/>
    <w:qFormat/>
    <w:uiPriority w:val="0"/>
    <w:rPr>
      <w:b/>
      <w:i/>
      <w:u w:val="single"/>
    </w:rPr>
  </w:style>
  <w:style w:type="paragraph" w:customStyle="1" w:styleId="199">
    <w:name w:val="！alt+~"/>
    <w:basedOn w:val="1"/>
    <w:link w:val="212"/>
    <w:qFormat/>
    <w:uiPriority w:val="0"/>
    <w:pPr>
      <w:spacing w:before="156" w:line="360" w:lineRule="auto"/>
      <w:ind w:firstLine="510"/>
    </w:pPr>
    <w:rPr>
      <w:rFonts w:ascii="宋体"/>
      <w:color w:val="000000"/>
      <w:sz w:val="28"/>
      <w:szCs w:val="20"/>
    </w:rPr>
  </w:style>
  <w:style w:type="character" w:customStyle="1" w:styleId="200">
    <w:name w:val="电子邮件签名 Char"/>
    <w:link w:val="20"/>
    <w:semiHidden/>
    <w:qFormat/>
    <w:uiPriority w:val="0"/>
    <w:rPr>
      <w:rFonts w:ascii="Times_New_Roman" w:hAnsi="Times_New_Roman" w:eastAsia="外交粗仿宋"/>
      <w:sz w:val="32"/>
    </w:rPr>
  </w:style>
  <w:style w:type="character" w:customStyle="1" w:styleId="201">
    <w:name w:val="结束语 Char"/>
    <w:link w:val="32"/>
    <w:semiHidden/>
    <w:qFormat/>
    <w:uiPriority w:val="0"/>
    <w:rPr>
      <w:rFonts w:ascii="Times_New_Roman" w:hAnsi="Times_New_Roman" w:eastAsia="外交粗仿宋"/>
      <w:sz w:val="32"/>
    </w:rPr>
  </w:style>
  <w:style w:type="character" w:customStyle="1" w:styleId="202">
    <w:name w:val="正文首行缩进 Char"/>
    <w:basedOn w:val="196"/>
    <w:qFormat/>
    <w:uiPriority w:val="0"/>
    <w:rPr>
      <w:kern w:val="2"/>
      <w:sz w:val="21"/>
      <w:szCs w:val="24"/>
    </w:rPr>
  </w:style>
  <w:style w:type="character" w:customStyle="1" w:styleId="203">
    <w:name w:val="my正文 Char"/>
    <w:link w:val="204"/>
    <w:qFormat/>
    <w:uiPriority w:val="0"/>
    <w:rPr>
      <w:sz w:val="24"/>
      <w:szCs w:val="24"/>
    </w:rPr>
  </w:style>
  <w:style w:type="paragraph" w:customStyle="1" w:styleId="204">
    <w:name w:val="my正文"/>
    <w:basedOn w:val="1"/>
    <w:link w:val="203"/>
    <w:qFormat/>
    <w:uiPriority w:val="0"/>
    <w:pPr>
      <w:spacing w:line="360" w:lineRule="auto"/>
      <w:ind w:left="200" w:leftChars="200" w:firstLine="480" w:firstLineChars="200"/>
    </w:pPr>
    <w:rPr>
      <w:kern w:val="0"/>
      <w:sz w:val="24"/>
    </w:rPr>
  </w:style>
  <w:style w:type="character" w:customStyle="1" w:styleId="205">
    <w:name w:val="3zw1"/>
    <w:qFormat/>
    <w:uiPriority w:val="0"/>
    <w:rPr>
      <w:color w:val="000000"/>
      <w:spacing w:val="360"/>
      <w:sz w:val="21"/>
      <w:szCs w:val="21"/>
    </w:rPr>
  </w:style>
  <w:style w:type="character" w:customStyle="1" w:styleId="206">
    <w:name w:val="正文首行缩进 2 Char"/>
    <w:link w:val="87"/>
    <w:qFormat/>
    <w:uiPriority w:val="0"/>
    <w:rPr>
      <w:rFonts w:ascii="Times_New_Roman" w:hAnsi="Times_New_Roman" w:eastAsia="外交粗仿宋"/>
      <w:kern w:val="2"/>
      <w:sz w:val="32"/>
      <w:szCs w:val="24"/>
    </w:rPr>
  </w:style>
  <w:style w:type="character" w:customStyle="1" w:styleId="207">
    <w:name w:val="正文首行缩进 Char1"/>
    <w:link w:val="86"/>
    <w:qFormat/>
    <w:uiPriority w:val="0"/>
    <w:rPr>
      <w:rFonts w:ascii="Calibri" w:hAnsi="Calibri" w:cs="黑体"/>
      <w:kern w:val="2"/>
      <w:sz w:val="21"/>
      <w:szCs w:val="24"/>
    </w:rPr>
  </w:style>
  <w:style w:type="character" w:customStyle="1" w:styleId="208">
    <w:name w:val="信息标题 Char"/>
    <w:link w:val="79"/>
    <w:semiHidden/>
    <w:qFormat/>
    <w:uiPriority w:val="0"/>
    <w:rPr>
      <w:rFonts w:ascii="Times_New_Roman" w:hAnsi="Times_New_Roman" w:eastAsia="外交粗仿宋" w:cs="Arial"/>
      <w:sz w:val="24"/>
      <w:szCs w:val="24"/>
      <w:shd w:val="pct20" w:color="auto" w:fill="auto"/>
    </w:rPr>
  </w:style>
  <w:style w:type="character" w:customStyle="1" w:styleId="209">
    <w:name w:val="签名 Char"/>
    <w:link w:val="58"/>
    <w:semiHidden/>
    <w:qFormat/>
    <w:uiPriority w:val="0"/>
    <w:rPr>
      <w:rFonts w:ascii="Times_New_Roman" w:hAnsi="Times_New_Roman" w:eastAsia="外交粗仿宋"/>
      <w:sz w:val="32"/>
    </w:rPr>
  </w:style>
  <w:style w:type="character" w:customStyle="1" w:styleId="210">
    <w:name w:val="尾注文本 Char"/>
    <w:link w:val="52"/>
    <w:semiHidden/>
    <w:qFormat/>
    <w:uiPriority w:val="0"/>
    <w:rPr>
      <w:rFonts w:ascii="Times_New_Roman" w:hAnsi="Times_New_Roman" w:eastAsia="外交粗仿宋"/>
      <w:sz w:val="32"/>
    </w:rPr>
  </w:style>
  <w:style w:type="character" w:customStyle="1" w:styleId="211">
    <w:name w:val="font01"/>
    <w:qFormat/>
    <w:uiPriority w:val="0"/>
    <w:rPr>
      <w:rFonts w:hint="eastAsia" w:ascii="宋体" w:hAnsi="宋体" w:eastAsia="宋体" w:cs="宋体"/>
      <w:color w:val="000000"/>
      <w:sz w:val="22"/>
      <w:szCs w:val="22"/>
      <w:u w:val="none"/>
    </w:rPr>
  </w:style>
  <w:style w:type="character" w:customStyle="1" w:styleId="212">
    <w:name w:val="！alt+~ Char"/>
    <w:link w:val="199"/>
    <w:qFormat/>
    <w:uiPriority w:val="0"/>
    <w:rPr>
      <w:rFonts w:ascii="宋体"/>
      <w:color w:val="000000"/>
      <w:kern w:val="2"/>
      <w:sz w:val="28"/>
    </w:rPr>
  </w:style>
  <w:style w:type="character" w:customStyle="1" w:styleId="213">
    <w:name w:val="font51"/>
    <w:qFormat/>
    <w:uiPriority w:val="0"/>
    <w:rPr>
      <w:rFonts w:hint="eastAsia" w:ascii="宋体" w:hAnsi="宋体" w:eastAsia="宋体" w:cs="宋体"/>
      <w:color w:val="000000"/>
      <w:sz w:val="22"/>
      <w:szCs w:val="22"/>
      <w:u w:val="none"/>
    </w:rPr>
  </w:style>
  <w:style w:type="character" w:customStyle="1" w:styleId="214">
    <w:name w:val="HTML 预设格式 Char"/>
    <w:link w:val="80"/>
    <w:semiHidden/>
    <w:qFormat/>
    <w:uiPriority w:val="0"/>
    <w:rPr>
      <w:rFonts w:ascii="Times_New_Roman" w:hAnsi="Times_New_Roman" w:eastAsia="外交粗仿宋" w:cs="Courier New"/>
    </w:rPr>
  </w:style>
  <w:style w:type="character" w:customStyle="1" w:styleId="215">
    <w:name w:val="标题 1 Char1"/>
    <w:qFormat/>
    <w:uiPriority w:val="0"/>
    <w:rPr>
      <w:rFonts w:ascii="Arial" w:hAnsi="Arial" w:eastAsia="黑体" w:cs="Arial"/>
      <w:b/>
      <w:kern w:val="44"/>
      <w:sz w:val="44"/>
      <w:szCs w:val="20"/>
    </w:rPr>
  </w:style>
  <w:style w:type="character" w:customStyle="1" w:styleId="216">
    <w:name w:val="注释标题 Char"/>
    <w:link w:val="17"/>
    <w:semiHidden/>
    <w:qFormat/>
    <w:uiPriority w:val="0"/>
    <w:rPr>
      <w:rFonts w:ascii="Times_New_Roman" w:hAnsi="Times_New_Roman" w:eastAsia="外交粗仿宋"/>
      <w:sz w:val="32"/>
    </w:rPr>
  </w:style>
  <w:style w:type="character" w:customStyle="1" w:styleId="217">
    <w:name w:val="_正文段落 Char"/>
    <w:link w:val="218"/>
    <w:qFormat/>
    <w:uiPriority w:val="0"/>
    <w:rPr>
      <w:kern w:val="2"/>
      <w:sz w:val="21"/>
      <w:szCs w:val="24"/>
    </w:rPr>
  </w:style>
  <w:style w:type="paragraph" w:customStyle="1" w:styleId="218">
    <w:name w:val="_正文段落"/>
    <w:basedOn w:val="1"/>
    <w:link w:val="217"/>
    <w:qFormat/>
    <w:uiPriority w:val="0"/>
    <w:pPr>
      <w:spacing w:before="46" w:beforeLines="15" w:after="46" w:afterLines="15" w:line="360" w:lineRule="auto"/>
      <w:ind w:firstLine="200" w:firstLineChars="200"/>
    </w:pPr>
  </w:style>
  <w:style w:type="character" w:customStyle="1" w:styleId="219">
    <w:name w:val="正文文本 3 Char"/>
    <w:link w:val="31"/>
    <w:semiHidden/>
    <w:qFormat/>
    <w:uiPriority w:val="0"/>
    <w:rPr>
      <w:rFonts w:ascii="Times_New_Roman" w:hAnsi="Times_New_Roman" w:eastAsia="外交粗仿宋"/>
      <w:sz w:val="16"/>
      <w:szCs w:val="16"/>
    </w:rPr>
  </w:style>
  <w:style w:type="paragraph" w:customStyle="1" w:styleId="220">
    <w:name w:val="正文自用1"/>
    <w:basedOn w:val="221"/>
    <w:qFormat/>
    <w:uiPriority w:val="0"/>
    <w:rPr>
      <w:rFonts w:eastAsia="外交粗仿宋"/>
    </w:rPr>
  </w:style>
  <w:style w:type="paragraph" w:customStyle="1" w:styleId="221">
    <w:name w:val="正文(黑体)"/>
    <w:basedOn w:val="1"/>
    <w:next w:val="1"/>
    <w:qFormat/>
    <w:uiPriority w:val="0"/>
    <w:pPr>
      <w:overflowPunct w:val="0"/>
      <w:autoSpaceDE w:val="0"/>
      <w:autoSpaceDN w:val="0"/>
      <w:snapToGrid w:val="0"/>
      <w:spacing w:line="336" w:lineRule="auto"/>
      <w:textAlignment w:val="bottom"/>
    </w:pPr>
    <w:rPr>
      <w:rFonts w:ascii="Times_New_Roman" w:hAnsi="Times_New_Roman" w:eastAsia="外交黑体"/>
      <w:kern w:val="0"/>
      <w:sz w:val="32"/>
      <w:szCs w:val="20"/>
    </w:rPr>
  </w:style>
  <w:style w:type="paragraph" w:customStyle="1" w:styleId="222">
    <w:name w:val="列出段落2"/>
    <w:basedOn w:val="1"/>
    <w:qFormat/>
    <w:uiPriority w:val="0"/>
    <w:pPr>
      <w:autoSpaceDE w:val="0"/>
      <w:autoSpaceDN w:val="0"/>
      <w:adjustRightInd w:val="0"/>
      <w:spacing w:line="360" w:lineRule="auto"/>
      <w:ind w:firstLine="420" w:firstLineChars="200"/>
      <w:jc w:val="left"/>
    </w:pPr>
    <w:rPr>
      <w:rFonts w:ascii="Arial" w:hAnsi="Arial" w:cs="Arial"/>
      <w:sz w:val="24"/>
    </w:rPr>
  </w:style>
  <w:style w:type="paragraph" w:customStyle="1" w:styleId="223">
    <w:name w:val="！alt+w"/>
    <w:basedOn w:val="1"/>
    <w:qFormat/>
    <w:uiPriority w:val="0"/>
    <w:pPr>
      <w:adjustRightInd w:val="0"/>
      <w:snapToGrid w:val="0"/>
      <w:jc w:val="left"/>
    </w:pPr>
    <w:rPr>
      <w:rFonts w:ascii="宋体" w:hAnsi="宋体"/>
      <w:snapToGrid w:val="0"/>
      <w:color w:val="000000"/>
      <w:kern w:val="0"/>
      <w:sz w:val="24"/>
      <w:szCs w:val="20"/>
    </w:rPr>
  </w:style>
  <w:style w:type="paragraph" w:customStyle="1" w:styleId="224">
    <w:name w:val="纯文本1"/>
    <w:basedOn w:val="1"/>
    <w:qFormat/>
    <w:uiPriority w:val="0"/>
    <w:rPr>
      <w:rFonts w:ascii="宋体" w:hAnsi="Courier New"/>
      <w:szCs w:val="21"/>
    </w:rPr>
  </w:style>
  <w:style w:type="character" w:customStyle="1" w:styleId="225">
    <w:name w:val="尾注文本 字符1"/>
    <w:basedOn w:val="92"/>
    <w:semiHidden/>
    <w:qFormat/>
    <w:uiPriority w:val="0"/>
    <w:rPr>
      <w:kern w:val="2"/>
      <w:sz w:val="21"/>
      <w:szCs w:val="24"/>
    </w:rPr>
  </w:style>
  <w:style w:type="character" w:customStyle="1" w:styleId="226">
    <w:name w:val="正文文本 Char"/>
    <w:basedOn w:val="92"/>
    <w:link w:val="34"/>
    <w:qFormat/>
    <w:uiPriority w:val="0"/>
    <w:rPr>
      <w:b/>
      <w:i/>
      <w:kern w:val="2"/>
      <w:sz w:val="21"/>
      <w:szCs w:val="24"/>
    </w:rPr>
  </w:style>
  <w:style w:type="character" w:customStyle="1" w:styleId="227">
    <w:name w:val="正文文本首行缩进 字符1"/>
    <w:basedOn w:val="226"/>
    <w:qFormat/>
    <w:uiPriority w:val="0"/>
    <w:rPr>
      <w:b w:val="0"/>
      <w:i w:val="0"/>
      <w:kern w:val="2"/>
      <w:sz w:val="21"/>
      <w:szCs w:val="24"/>
    </w:rPr>
  </w:style>
  <w:style w:type="paragraph" w:customStyle="1" w:styleId="228">
    <w:name w:val="正文缩进1"/>
    <w:basedOn w:val="1"/>
    <w:qFormat/>
    <w:uiPriority w:val="0"/>
    <w:pPr>
      <w:spacing w:line="360" w:lineRule="auto"/>
      <w:ind w:left="200" w:leftChars="200" w:firstLine="510"/>
    </w:pPr>
    <w:rPr>
      <w:rFonts w:ascii="Calibri" w:hAnsi="Calibri" w:cs="黑体"/>
      <w:sz w:val="24"/>
      <w:szCs w:val="22"/>
    </w:rPr>
  </w:style>
  <w:style w:type="character" w:customStyle="1" w:styleId="229">
    <w:name w:val="电子邮件签名 字符1"/>
    <w:basedOn w:val="92"/>
    <w:semiHidden/>
    <w:qFormat/>
    <w:uiPriority w:val="0"/>
    <w:rPr>
      <w:kern w:val="2"/>
      <w:sz w:val="21"/>
      <w:szCs w:val="24"/>
    </w:rPr>
  </w:style>
  <w:style w:type="character" w:customStyle="1" w:styleId="230">
    <w:name w:val="正文文本首行缩进 2 字符1"/>
    <w:basedOn w:val="129"/>
    <w:semiHidden/>
    <w:qFormat/>
    <w:uiPriority w:val="0"/>
    <w:rPr>
      <w:kern w:val="2"/>
      <w:sz w:val="21"/>
      <w:szCs w:val="24"/>
    </w:rPr>
  </w:style>
  <w:style w:type="paragraph" w:customStyle="1" w:styleId="231">
    <w:name w:val="样式 样式 首行缩进:  2 字符2 + 首行缩进:  2 字符"/>
    <w:qFormat/>
    <w:uiPriority w:val="0"/>
    <w:pPr>
      <w:ind w:firstLine="624"/>
    </w:pPr>
    <w:rPr>
      <w:rFonts w:ascii="Times New Roman" w:hAnsi="Times New Roman" w:eastAsia="宋体" w:cs="Times New Roman"/>
      <w:lang w:val="en-US" w:eastAsia="zh-CN" w:bidi="ar-SA"/>
    </w:rPr>
  </w:style>
  <w:style w:type="character" w:customStyle="1" w:styleId="232">
    <w:name w:val="宏文本 字符1"/>
    <w:basedOn w:val="92"/>
    <w:semiHidden/>
    <w:qFormat/>
    <w:uiPriority w:val="0"/>
    <w:rPr>
      <w:rFonts w:ascii="Courier New" w:hAnsi="Courier New" w:cs="Courier New"/>
      <w:kern w:val="2"/>
      <w:sz w:val="24"/>
      <w:szCs w:val="24"/>
    </w:rPr>
  </w:style>
  <w:style w:type="character" w:customStyle="1" w:styleId="233">
    <w:name w:val="签名 字符1"/>
    <w:basedOn w:val="92"/>
    <w:semiHidden/>
    <w:qFormat/>
    <w:uiPriority w:val="0"/>
    <w:rPr>
      <w:kern w:val="2"/>
      <w:sz w:val="21"/>
      <w:szCs w:val="24"/>
    </w:rPr>
  </w:style>
  <w:style w:type="character" w:customStyle="1" w:styleId="234">
    <w:name w:val="正文文本 3 字符1"/>
    <w:basedOn w:val="92"/>
    <w:semiHidden/>
    <w:qFormat/>
    <w:uiPriority w:val="0"/>
    <w:rPr>
      <w:kern w:val="2"/>
      <w:sz w:val="16"/>
      <w:szCs w:val="16"/>
    </w:rPr>
  </w:style>
  <w:style w:type="paragraph" w:customStyle="1" w:styleId="235">
    <w:name w:val="居右2(三号)"/>
    <w:basedOn w:val="1"/>
    <w:next w:val="1"/>
    <w:semiHidden/>
    <w:qFormat/>
    <w:uiPriority w:val="0"/>
    <w:pPr>
      <w:overflowPunct w:val="0"/>
      <w:autoSpaceDE w:val="0"/>
      <w:autoSpaceDN w:val="0"/>
      <w:snapToGrid w:val="0"/>
      <w:spacing w:line="336" w:lineRule="auto"/>
      <w:ind w:right="623"/>
      <w:jc w:val="right"/>
      <w:textAlignment w:val="bottom"/>
    </w:pPr>
    <w:rPr>
      <w:rFonts w:ascii="Times_New_Roman" w:hAnsi="Times_New_Roman" w:eastAsia="外交粗仿宋"/>
      <w:kern w:val="0"/>
      <w:sz w:val="32"/>
      <w:szCs w:val="20"/>
    </w:rPr>
  </w:style>
  <w:style w:type="character" w:customStyle="1" w:styleId="236">
    <w:name w:val="结束语 字符1"/>
    <w:basedOn w:val="92"/>
    <w:semiHidden/>
    <w:qFormat/>
    <w:uiPriority w:val="0"/>
    <w:rPr>
      <w:kern w:val="2"/>
      <w:sz w:val="21"/>
      <w:szCs w:val="24"/>
    </w:rPr>
  </w:style>
  <w:style w:type="paragraph" w:customStyle="1" w:styleId="237">
    <w:name w:val="普通(网站)1"/>
    <w:basedOn w:val="1"/>
    <w:qFormat/>
    <w:uiPriority w:val="0"/>
    <w:pPr>
      <w:overflowPunct w:val="0"/>
      <w:autoSpaceDE w:val="0"/>
      <w:autoSpaceDN w:val="0"/>
      <w:snapToGrid w:val="0"/>
      <w:spacing w:line="336" w:lineRule="auto"/>
      <w:jc w:val="left"/>
      <w:textAlignment w:val="bottom"/>
    </w:pPr>
    <w:rPr>
      <w:rFonts w:ascii="Times_New_Roman" w:hAnsi="Times_New_Roman" w:eastAsia="外交粗仿宋"/>
      <w:kern w:val="0"/>
      <w:sz w:val="24"/>
      <w:szCs w:val="20"/>
    </w:rPr>
  </w:style>
  <w:style w:type="paragraph" w:customStyle="1" w:styleId="238">
    <w:name w:val="style1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39">
    <w:name w:val="khf"/>
    <w:basedOn w:val="1"/>
    <w:qFormat/>
    <w:uiPriority w:val="0"/>
    <w:pPr>
      <w:widowControl/>
      <w:spacing w:beforeAutospacing="1" w:afterAutospacing="1" w:line="300" w:lineRule="atLeast"/>
      <w:ind w:left="200" w:leftChars="200"/>
      <w:jc w:val="left"/>
    </w:pPr>
    <w:rPr>
      <w:rFonts w:ascii="宋体" w:hAnsi="宋体" w:cs="宋体"/>
      <w:kern w:val="0"/>
      <w:sz w:val="24"/>
      <w:szCs w:val="22"/>
    </w:rPr>
  </w:style>
  <w:style w:type="character" w:customStyle="1" w:styleId="240">
    <w:name w:val="HTML 地址 字符1"/>
    <w:basedOn w:val="92"/>
    <w:semiHidden/>
    <w:qFormat/>
    <w:uiPriority w:val="0"/>
    <w:rPr>
      <w:i/>
      <w:iCs/>
      <w:kern w:val="2"/>
      <w:sz w:val="21"/>
      <w:szCs w:val="24"/>
    </w:rPr>
  </w:style>
  <w:style w:type="paragraph" w:customStyle="1" w:styleId="241">
    <w:name w:val="新编正文"/>
    <w:basedOn w:val="1"/>
    <w:qFormat/>
    <w:uiPriority w:val="0"/>
    <w:pPr>
      <w:spacing w:before="60" w:after="60" w:line="360" w:lineRule="auto"/>
      <w:ind w:firstLine="420"/>
    </w:pPr>
    <w:rPr>
      <w:rFonts w:cs="宋体"/>
      <w:kern w:val="0"/>
      <w:sz w:val="24"/>
      <w:szCs w:val="20"/>
    </w:rPr>
  </w:style>
  <w:style w:type="character" w:customStyle="1" w:styleId="242">
    <w:name w:val="HTML 预设格式 字符1"/>
    <w:basedOn w:val="92"/>
    <w:semiHidden/>
    <w:qFormat/>
    <w:uiPriority w:val="0"/>
    <w:rPr>
      <w:rFonts w:ascii="Courier New" w:hAnsi="Courier New" w:cs="Courier New"/>
      <w:kern w:val="2"/>
    </w:rPr>
  </w:style>
  <w:style w:type="paragraph" w:customStyle="1" w:styleId="243">
    <w:name w:val="样式 标题 2 + 宋体 五号 行距: 单倍行距"/>
    <w:basedOn w:val="4"/>
    <w:qFormat/>
    <w:uiPriority w:val="0"/>
    <w:pPr>
      <w:numPr>
        <w:ilvl w:val="1"/>
        <w:numId w:val="10"/>
      </w:numPr>
      <w:tabs>
        <w:tab w:val="left" w:pos="1188"/>
      </w:tabs>
      <w:adjustRightInd w:val="0"/>
      <w:spacing w:line="240" w:lineRule="auto"/>
      <w:jc w:val="left"/>
      <w:textAlignment w:val="baseline"/>
    </w:pPr>
    <w:rPr>
      <w:rFonts w:ascii="宋体" w:hAnsi="宋体" w:eastAsia="宋体"/>
      <w:kern w:val="0"/>
      <w:sz w:val="21"/>
      <w:szCs w:val="20"/>
    </w:rPr>
  </w:style>
  <w:style w:type="paragraph" w:customStyle="1" w:styleId="244">
    <w:name w:val="List Paragraph1"/>
    <w:basedOn w:val="1"/>
    <w:qFormat/>
    <w:uiPriority w:val="0"/>
    <w:pPr>
      <w:overflowPunct w:val="0"/>
      <w:autoSpaceDE w:val="0"/>
      <w:autoSpaceDN w:val="0"/>
      <w:snapToGrid w:val="0"/>
      <w:spacing w:line="336" w:lineRule="auto"/>
      <w:ind w:firstLine="420" w:firstLineChars="200"/>
      <w:textAlignment w:val="bottom"/>
    </w:pPr>
    <w:rPr>
      <w:rFonts w:ascii="Times_New_Roman" w:hAnsi="Times_New_Roman" w:eastAsia="外交粗仿宋"/>
      <w:kern w:val="0"/>
      <w:sz w:val="32"/>
      <w:szCs w:val="20"/>
    </w:rPr>
  </w:style>
  <w:style w:type="character" w:customStyle="1" w:styleId="245">
    <w:name w:val="注释标题 字符1"/>
    <w:basedOn w:val="92"/>
    <w:semiHidden/>
    <w:qFormat/>
    <w:uiPriority w:val="0"/>
    <w:rPr>
      <w:kern w:val="2"/>
      <w:sz w:val="21"/>
      <w:szCs w:val="24"/>
    </w:rPr>
  </w:style>
  <w:style w:type="paragraph" w:customStyle="1" w:styleId="246">
    <w:name w:val="_Style 35"/>
    <w:basedOn w:val="1"/>
    <w:qFormat/>
    <w:uiPriority w:val="0"/>
    <w:pPr>
      <w:spacing w:line="360" w:lineRule="auto"/>
      <w:ind w:left="200" w:leftChars="200" w:firstLine="420"/>
    </w:pPr>
    <w:rPr>
      <w:rFonts w:ascii="Calibri" w:hAnsi="Calibri" w:cs="黑体"/>
      <w:sz w:val="24"/>
      <w:szCs w:val="22"/>
    </w:rPr>
  </w:style>
  <w:style w:type="character" w:customStyle="1" w:styleId="247">
    <w:name w:val="信息标题 字符1"/>
    <w:basedOn w:val="92"/>
    <w:semiHidden/>
    <w:qFormat/>
    <w:uiPriority w:val="0"/>
    <w:rPr>
      <w:rFonts w:asciiTheme="majorHAnsi" w:hAnsiTheme="majorHAnsi" w:eastAsiaTheme="majorEastAsia" w:cstheme="majorBidi"/>
      <w:kern w:val="2"/>
      <w:sz w:val="24"/>
      <w:szCs w:val="24"/>
      <w:shd w:val="pct20" w:color="auto" w:fill="auto"/>
    </w:rPr>
  </w:style>
  <w:style w:type="paragraph" w:customStyle="1" w:styleId="248">
    <w:name w:val="正文 + 宋体"/>
    <w:basedOn w:val="1"/>
    <w:qFormat/>
    <w:uiPriority w:val="0"/>
    <w:pPr>
      <w:widowControl/>
      <w:numPr>
        <w:ilvl w:val="1"/>
        <w:numId w:val="5"/>
      </w:numPr>
      <w:ind w:left="360" w:hanging="360"/>
      <w:jc w:val="left"/>
    </w:pPr>
    <w:rPr>
      <w:rFonts w:ascii="宋体" w:hAnsi="宋体" w:cs="宋体"/>
      <w:b/>
      <w:bCs/>
      <w:color w:val="000000"/>
      <w:kern w:val="0"/>
      <w:sz w:val="18"/>
      <w:szCs w:val="18"/>
    </w:rPr>
  </w:style>
  <w:style w:type="paragraph" w:customStyle="1" w:styleId="249">
    <w:name w:val="_Style 23"/>
    <w:basedOn w:val="1"/>
    <w:qFormat/>
    <w:uiPriority w:val="99"/>
    <w:rPr>
      <w:szCs w:val="20"/>
    </w:rPr>
  </w:style>
  <w:style w:type="paragraph" w:customStyle="1" w:styleId="250">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251">
    <w:name w:val="font91"/>
    <w:qFormat/>
    <w:uiPriority w:val="0"/>
    <w:rPr>
      <w:rFonts w:hint="eastAsia" w:ascii="宋体" w:hAnsi="宋体" w:eastAsia="宋体" w:cs="宋体"/>
      <w:color w:val="000000"/>
      <w:sz w:val="22"/>
      <w:szCs w:val="22"/>
      <w:u w:val="none"/>
    </w:rPr>
  </w:style>
  <w:style w:type="character" w:customStyle="1" w:styleId="252">
    <w:name w:val="font31"/>
    <w:qFormat/>
    <w:uiPriority w:val="0"/>
    <w:rPr>
      <w:rFonts w:hint="eastAsia" w:ascii="宋体" w:hAnsi="宋体" w:eastAsia="宋体" w:cs="宋体"/>
      <w:color w:val="000000"/>
      <w:sz w:val="22"/>
      <w:szCs w:val="22"/>
      <w:u w:val="none"/>
    </w:rPr>
  </w:style>
  <w:style w:type="character" w:customStyle="1" w:styleId="253">
    <w:name w:val="font41"/>
    <w:qFormat/>
    <w:uiPriority w:val="0"/>
    <w:rPr>
      <w:rFonts w:hint="eastAsia" w:ascii="宋体" w:hAnsi="宋体" w:eastAsia="宋体" w:cs="宋体"/>
      <w:color w:val="000000"/>
      <w:sz w:val="24"/>
      <w:szCs w:val="24"/>
      <w:u w:val="none"/>
    </w:rPr>
  </w:style>
  <w:style w:type="character" w:customStyle="1" w:styleId="254">
    <w:name w:val="font12"/>
    <w:qFormat/>
    <w:uiPriority w:val="0"/>
    <w:rPr>
      <w:rFonts w:hint="eastAsia" w:ascii="宋体" w:hAnsi="宋体" w:eastAsia="宋体" w:cs="宋体"/>
      <w:color w:val="000000"/>
      <w:sz w:val="22"/>
      <w:szCs w:val="22"/>
      <w:u w:val="none"/>
    </w:rPr>
  </w:style>
  <w:style w:type="character" w:customStyle="1" w:styleId="255">
    <w:name w:val="font111"/>
    <w:qFormat/>
    <w:uiPriority w:val="0"/>
    <w:rPr>
      <w:rFonts w:hint="eastAsia" w:ascii="宋体" w:hAnsi="宋体" w:eastAsia="宋体" w:cs="宋体"/>
      <w:color w:val="000000"/>
      <w:sz w:val="18"/>
      <w:szCs w:val="18"/>
      <w:u w:val="none"/>
    </w:rPr>
  </w:style>
  <w:style w:type="character" w:customStyle="1" w:styleId="256">
    <w:name w:val="font61"/>
    <w:qFormat/>
    <w:uiPriority w:val="0"/>
    <w:rPr>
      <w:rFonts w:hint="eastAsia" w:ascii="宋体" w:hAnsi="宋体" w:eastAsia="宋体" w:cs="宋体"/>
      <w:color w:val="000000"/>
      <w:sz w:val="18"/>
      <w:szCs w:val="18"/>
      <w:u w:val="none"/>
    </w:rPr>
  </w:style>
  <w:style w:type="character" w:customStyle="1" w:styleId="257">
    <w:name w:val="font122"/>
    <w:qFormat/>
    <w:uiPriority w:val="0"/>
    <w:rPr>
      <w:rFonts w:hint="eastAsia" w:ascii="宋体" w:hAnsi="宋体" w:eastAsia="宋体" w:cs="宋体"/>
      <w:color w:val="666666"/>
      <w:sz w:val="18"/>
      <w:szCs w:val="18"/>
      <w:u w:val="none"/>
    </w:rPr>
  </w:style>
  <w:style w:type="character" w:customStyle="1" w:styleId="258">
    <w:name w:val="样式2 Char"/>
    <w:link w:val="158"/>
    <w:qFormat/>
    <w:uiPriority w:val="0"/>
    <w:rPr>
      <w:b/>
      <w:kern w:val="2"/>
      <w:sz w:val="24"/>
    </w:rPr>
  </w:style>
  <w:style w:type="paragraph" w:customStyle="1" w:styleId="25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6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61">
    <w:name w:val="font6"/>
    <w:basedOn w:val="1"/>
    <w:qFormat/>
    <w:uiPriority w:val="0"/>
    <w:pPr>
      <w:widowControl/>
      <w:spacing w:before="100" w:beforeAutospacing="1" w:after="100" w:afterAutospacing="1"/>
      <w:jc w:val="left"/>
    </w:pPr>
    <w:rPr>
      <w:rFonts w:ascii="宋体" w:hAnsi="宋体" w:cs="宋体"/>
      <w:b/>
      <w:bCs/>
      <w:color w:val="666666"/>
      <w:kern w:val="0"/>
      <w:sz w:val="20"/>
      <w:szCs w:val="20"/>
    </w:rPr>
  </w:style>
  <w:style w:type="paragraph" w:customStyle="1" w:styleId="262">
    <w:name w:val="xl6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0"/>
      <w:szCs w:val="20"/>
    </w:rPr>
  </w:style>
  <w:style w:type="paragraph" w:customStyle="1" w:styleId="2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68">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character" w:customStyle="1" w:styleId="269">
    <w:name w:val="Unresolved Mention"/>
    <w:basedOn w:val="92"/>
    <w:semiHidden/>
    <w:unhideWhenUsed/>
    <w:uiPriority w:val="99"/>
    <w:rPr>
      <w:color w:val="605E5C"/>
      <w:shd w:val="clear" w:color="auto" w:fill="E1DFDD"/>
    </w:rPr>
  </w:style>
  <w:style w:type="table" w:customStyle="1" w:styleId="270">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71">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272">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273">
    <w:name w:val="TOC Heading"/>
    <w:basedOn w:val="3"/>
    <w:next w:val="1"/>
    <w:unhideWhenUsed/>
    <w:qFormat/>
    <w:uiPriority w:val="39"/>
    <w:pPr>
      <w:keepNext/>
      <w:keepLines/>
      <w:widowControl/>
      <w:adjustRightInd/>
      <w:snapToGrid/>
      <w:spacing w:before="240" w:line="259" w:lineRule="auto"/>
      <w:jc w:val="left"/>
      <w:outlineLvl w:val="9"/>
    </w:pPr>
    <w:rPr>
      <w:rFonts w:asciiTheme="majorHAnsi" w:hAnsiTheme="majorHAnsi" w:eastAsiaTheme="majorEastAsia" w:cstheme="majorBidi"/>
      <w:bCs w:val="0"/>
      <w:color w:val="376092" w:themeColor="accent1" w:themeShade="BF"/>
      <w:w w:val="1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5548A-A36E-45AB-8FEA-23525E35A10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84</Pages>
  <Words>8331</Words>
  <Characters>47492</Characters>
  <Lines>395</Lines>
  <Paragraphs>111</Paragraphs>
  <TotalTime>58</TotalTime>
  <ScaleCrop>false</ScaleCrop>
  <LinksUpToDate>false</LinksUpToDate>
  <CharactersWithSpaces>55712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2022-01-14T05:22:00Z</dcterms:created>
  <dc:creator>陈冰然</dc:creator>
  <cp:lastModifiedBy>Monsieur  Li</cp:lastModifiedBy>
  <cp:lastPrinted>2020-12-28T03:01:00Z</cp:lastPrinted>
  <dcterms:modified xsi:type="dcterms:W3CDTF">2022-01-26T01:40:07Z</dcterms:modified>
  <dc:title>中国网2020年度云平台运维服务</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002780D0DCB64073AA39267A446AAD23</vt:lpwstr>
  </property>
</Properties>
</file>